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lvatow70tjs9" w:id="0"/>
      <w:bookmarkEnd w:id="0"/>
      <w:r w:rsidDel="00000000" w:rsidR="00000000" w:rsidRPr="00000000">
        <w:rPr>
          <w:rtl w:val="0"/>
        </w:rPr>
        <w:t xml:space="preserve">6. Интерполирование функций многих переменных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lmgwo7c8brxb" w:id="1"/>
      <w:bookmarkEnd w:id="1"/>
      <w:r w:rsidDel="00000000" w:rsidR="00000000" w:rsidRPr="00000000">
        <w:rPr>
          <w:rtl w:val="0"/>
        </w:rPr>
        <w:t xml:space="preserve"> 6.1 Определение одночлена и многочлена многих переменных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il7rtcdlws9i" w:id="2"/>
      <w:bookmarkEnd w:id="2"/>
      <w:r w:rsidDel="00000000" w:rsidR="00000000" w:rsidRPr="00000000">
        <w:rPr>
          <w:rtl w:val="0"/>
        </w:rPr>
        <w:t xml:space="preserve"> 6.2 Определение матрицы Вандермонда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28z2xlfmpz5" w:id="3"/>
      <w:bookmarkEnd w:id="3"/>
      <w:r w:rsidDel="00000000" w:rsidR="00000000" w:rsidRPr="00000000">
        <w:rPr>
          <w:rtl w:val="0"/>
        </w:rPr>
        <w:t xml:space="preserve">6.3 Определение алгебраической гиперповерхности фиксированного порядка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w33p6zht41sr" w:id="4"/>
      <w:bookmarkEnd w:id="4"/>
      <w:r w:rsidDel="00000000" w:rsidR="00000000" w:rsidRPr="00000000">
        <w:rPr>
          <w:rtl w:val="0"/>
        </w:rPr>
        <w:t xml:space="preserve">6.4 Необходимое и достаточное условие для того, чтобы совокупность точек не принадлежала алгебраической гиперповерхности фиксированного порядка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mxcr20kyakqf" w:id="5"/>
      <w:bookmarkEnd w:id="5"/>
      <w:r w:rsidDel="00000000" w:rsidR="00000000" w:rsidRPr="00000000">
        <w:rPr>
          <w:rtl w:val="0"/>
        </w:rPr>
        <w:t xml:space="preserve">6.5 Ньютоновская система точек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-//- что и в предыдущем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wuw5m4alqn1n" w:id="6"/>
      <w:bookmarkEnd w:id="6"/>
      <w:r w:rsidDel="00000000" w:rsidR="00000000" w:rsidRPr="00000000">
        <w:rPr>
          <w:rtl w:val="0"/>
        </w:rPr>
        <w:t xml:space="preserve">6.6 Представление интерполяционного многочлена для функции многих переменных в форме Лагранжа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549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3pfi4dsuvu3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8vdibbnmnf6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m9lpb8ca2ig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3q0vn8xerdm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q9919lccyw3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n529pag3090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3oqrzikq2hd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4a8r0hfso55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f7qpfvbwe2h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32x3kwb7g6i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7do24l1j6n1b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7coe8ifcbygt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yhehcprf0y7f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2oah1cvk6p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7dmy6vs307h5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sb8agoxdpeby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dax4of20jhn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eak21sxwesmu" w:id="24"/>
      <w:bookmarkEnd w:id="24"/>
      <w:r w:rsidDel="00000000" w:rsidR="00000000" w:rsidRPr="00000000">
        <w:rPr>
          <w:rtl w:val="0"/>
        </w:rPr>
        <w:t xml:space="preserve">1. Квадратурные формулы 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klx32a862f0" w:id="25"/>
      <w:bookmarkEnd w:id="25"/>
      <w:r w:rsidDel="00000000" w:rsidR="00000000" w:rsidRPr="00000000">
        <w:rPr>
          <w:rtl w:val="0"/>
        </w:rPr>
        <w:t xml:space="preserve">1.1 Определение квадратурной формулы общего вида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57513" cy="628471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628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Ей можно пользоваться, только когда первообразная F(x) выражается через элементарные функции.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Наиболее часто </w:t>
      </w:r>
      <w:r w:rsidDel="00000000" w:rsidR="00000000" w:rsidRPr="00000000">
        <w:rPr>
          <w:u w:val="single"/>
          <w:rtl w:val="0"/>
        </w:rPr>
        <w:t xml:space="preserve">для приближенного вычисления</w:t>
      </w:r>
      <w:r w:rsidDel="00000000" w:rsidR="00000000" w:rsidRPr="00000000">
        <w:rPr>
          <w:rtl w:val="0"/>
        </w:rPr>
        <w:t xml:space="preserve"> рассматриваемого </w:t>
      </w:r>
      <w:r w:rsidDel="00000000" w:rsidR="00000000" w:rsidRPr="00000000">
        <w:rPr>
          <w:u w:val="single"/>
          <w:rtl w:val="0"/>
        </w:rPr>
        <w:t xml:space="preserve">интеграла </w:t>
      </w:r>
      <w:r w:rsidDel="00000000" w:rsidR="00000000" w:rsidRPr="00000000">
        <w:rPr>
          <w:rtl w:val="0"/>
        </w:rPr>
        <w:t xml:space="preserve">строятся </w:t>
      </w:r>
      <w:r w:rsidDel="00000000" w:rsidR="00000000" w:rsidRPr="00000000">
        <w:rPr>
          <w:highlight w:val="yellow"/>
          <w:rtl w:val="0"/>
        </w:rPr>
        <w:t xml:space="preserve">линейные квадратурные формулы (квадратуры)</w:t>
      </w:r>
      <w:r w:rsidDel="00000000" w:rsidR="00000000" w:rsidRPr="00000000">
        <w:rPr>
          <w:rtl w:val="0"/>
        </w:rPr>
        <w:t xml:space="preserve"> следующего вида: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681288" cy="716729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716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719138" cy="236988"/>
            <wp:effectExtent b="0" l="0" r="0" t="0"/>
            <wp:wrapSquare wrapText="bothSides" distB="114300" distT="114300" distL="114300" distR="1143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692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38" cy="23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– квадратурная сумма</w:t>
      </w:r>
    </w:p>
    <w:p w:rsidR="00000000" w:rsidDel="00000000" w:rsidP="00000000" w:rsidRDefault="00000000" w:rsidRPr="00000000" w14:paraId="0000002B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195390</wp:posOffset>
            </wp:positionV>
            <wp:extent cx="1052641" cy="276225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641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– квадратурные коэффициенты</w:t>
      </w:r>
    </w:p>
    <w:p w:rsidR="00000000" w:rsidDel="00000000" w:rsidP="00000000" w:rsidRDefault="00000000" w:rsidRPr="00000000" w14:paraId="0000002D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195390</wp:posOffset>
            </wp:positionV>
            <wp:extent cx="1126707" cy="276225"/>
            <wp:effectExtent b="0" l="0" r="0" t="0"/>
            <wp:wrapSquare wrapText="bothSides" distB="114300" distT="114300" distL="114300" distR="11430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10027"/>
                    <a:stretch>
                      <a:fillRect/>
                    </a:stretch>
                  </pic:blipFill>
                  <pic:spPr>
                    <a:xfrm>
                      <a:off x="0" y="0"/>
                      <a:ext cx="1126707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– узлы квадратуры (которые считаются попарно различными)</w:t>
      </w:r>
    </w:p>
    <w:p w:rsidR="00000000" w:rsidDel="00000000" w:rsidP="00000000" w:rsidRDefault="00000000" w:rsidRPr="00000000" w14:paraId="0000002F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Квадратурной сумма является обобщением суммы Римана для рассматриваемого интеграла, поэтому приближение интеграла ею представляется естественным.</w:t>
      </w:r>
    </w:p>
    <w:p w:rsidR="00000000" w:rsidDel="00000000" w:rsidP="00000000" w:rsidRDefault="00000000" w:rsidRPr="00000000" w14:paraId="00000032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5734050" cy="997341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65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7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i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Подынтегральная функция представляет собой произведение двух функций </w:t>
      </w:r>
      <w:r w:rsidDel="00000000" w:rsidR="00000000" w:rsidRPr="00000000">
        <w:rPr>
          <w:b w:val="1"/>
          <w:i w:val="1"/>
          <w:color w:val="222222"/>
          <w:sz w:val="21"/>
          <w:szCs w:val="21"/>
          <w:highlight w:val="white"/>
          <w:rtl w:val="0"/>
        </w:rPr>
        <w:t xml:space="preserve">p(х)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и</w:t>
      </w:r>
      <w:r w:rsidDel="00000000" w:rsidR="00000000" w:rsidRPr="00000000">
        <w:rPr>
          <w:b w:val="1"/>
          <w:i w:val="1"/>
          <w:color w:val="222222"/>
          <w:sz w:val="21"/>
          <w:szCs w:val="21"/>
          <w:highlight w:val="white"/>
          <w:rtl w:val="0"/>
        </w:rPr>
        <w:t xml:space="preserve"> f(х)</w:t>
      </w:r>
    </w:p>
    <w:p w:rsidR="00000000" w:rsidDel="00000000" w:rsidP="00000000" w:rsidRDefault="00000000" w:rsidRPr="00000000" w14:paraId="00000034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p(х)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считается фиксированной для данной квадратурной формулы (2.2) и называется </w:t>
      </w:r>
      <w:r w:rsidDel="00000000" w:rsidR="00000000" w:rsidRPr="00000000">
        <w:rPr>
          <w:b w:val="1"/>
          <w:i w:val="1"/>
          <w:color w:val="222222"/>
          <w:sz w:val="21"/>
          <w:szCs w:val="21"/>
          <w:highlight w:val="white"/>
          <w:rtl w:val="0"/>
        </w:rPr>
        <w:t xml:space="preserve">весовой функцией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Для каждой функции () f x ∈Φ, где Φ – некоторый класс функций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195390</wp:posOffset>
            </wp:positionV>
            <wp:extent cx="919163" cy="436213"/>
            <wp:effectExtent b="0" l="0" r="0" t="0"/>
            <wp:wrapSquare wrapText="bothSides" distB="114300" distT="114300" distL="114300" distR="1143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112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436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195390</wp:posOffset>
            </wp:positionV>
            <wp:extent cx="1429753" cy="438150"/>
            <wp:effectExtent b="0" l="0" r="0" t="0"/>
            <wp:wrapSquare wrapText="bothSides" distB="114300" distT="114300" distL="114300" distR="11430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161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9753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i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— разность между интегралом и квадратурной суммой называют </w:t>
      </w:r>
      <w:r w:rsidDel="00000000" w:rsidR="00000000" w:rsidRPr="00000000">
        <w:rPr>
          <w:b w:val="1"/>
          <w:i w:val="1"/>
          <w:color w:val="222222"/>
          <w:sz w:val="21"/>
          <w:szCs w:val="21"/>
          <w:highlight w:val="white"/>
          <w:rtl w:val="0"/>
        </w:rPr>
        <w:t xml:space="preserve">погрешностью, остаточным членом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или</w:t>
      </w:r>
      <w:r w:rsidDel="00000000" w:rsidR="00000000" w:rsidRPr="00000000">
        <w:rPr>
          <w:b w:val="1"/>
          <w:i w:val="1"/>
          <w:color w:val="222222"/>
          <w:sz w:val="21"/>
          <w:szCs w:val="21"/>
          <w:highlight w:val="white"/>
          <w:rtl w:val="0"/>
        </w:rPr>
        <w:t xml:space="preserve"> остатком квадратурной формулы</w:t>
      </w:r>
    </w:p>
    <w:p w:rsidR="00000000" w:rsidDel="00000000" w:rsidP="00000000" w:rsidRDefault="00000000" w:rsidRPr="00000000" w14:paraId="0000003B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195390</wp:posOffset>
            </wp:positionV>
            <wp:extent cx="2562225" cy="695325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– оценкой погрешности на классе Φ</w:t>
      </w:r>
    </w:p>
    <w:p w:rsidR="00000000" w:rsidDel="00000000" w:rsidP="00000000" w:rsidRDefault="00000000" w:rsidRPr="00000000" w14:paraId="0000003F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k3iil1few08f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29653zb82joe" w:id="27"/>
      <w:bookmarkEnd w:id="27"/>
      <w:r w:rsidDel="00000000" w:rsidR="00000000" w:rsidRPr="00000000">
        <w:rPr>
          <w:rtl w:val="0"/>
        </w:rPr>
        <w:t xml:space="preserve">1.2 Определение интерполяционной квадратурной формулы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80709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539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0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715063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71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581468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581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gbea2gaqoi9j" w:id="28"/>
      <w:bookmarkEnd w:id="28"/>
      <w:r w:rsidDel="00000000" w:rsidR="00000000" w:rsidRPr="00000000">
        <w:rPr>
          <w:rtl w:val="0"/>
        </w:rPr>
        <w:t xml:space="preserve">1.3 Необходимое и достаточное условие для того, чтобы квадратурная формула была интерполяционной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mouxufun2grt" w:id="29"/>
      <w:bookmarkEnd w:id="29"/>
      <w:r w:rsidDel="00000000" w:rsidR="00000000" w:rsidRPr="00000000">
        <w:rPr>
          <w:rtl w:val="0"/>
        </w:rPr>
        <w:t xml:space="preserve">1.4 Определение алгебраической степени точности квадратурной формулы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xjpdjff95ufz" w:id="30"/>
      <w:bookmarkEnd w:id="30"/>
      <w:r w:rsidDel="00000000" w:rsidR="00000000" w:rsidRPr="00000000">
        <w:rPr>
          <w:rtl w:val="0"/>
        </w:rPr>
        <w:t xml:space="preserve">2. Квадратурные формулы Ньютона-Котеса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n7ikcf4xun23" w:id="31"/>
      <w:bookmarkEnd w:id="31"/>
      <w:r w:rsidDel="00000000" w:rsidR="00000000" w:rsidRPr="00000000">
        <w:rPr>
          <w:rtl w:val="0"/>
        </w:rPr>
        <w:t xml:space="preserve">2.1 Определение формул Ньютона-Котеса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hd w:fill="fff2cc" w:val="clear"/>
        </w:rPr>
      </w:pPr>
      <w:bookmarkStart w:colFirst="0" w:colLast="0" w:name="_v068bxou70f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d0yvlykyids4" w:id="33"/>
      <w:bookmarkEnd w:id="33"/>
      <w:r w:rsidDel="00000000" w:rsidR="00000000" w:rsidRPr="00000000">
        <w:rPr>
          <w:rtl w:val="0"/>
        </w:rPr>
        <w:t xml:space="preserve">2.2 и 2.3 – смотреть вместе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iyp3w8qhv9s7" w:id="34"/>
      <w:bookmarkEnd w:id="34"/>
      <w:r w:rsidDel="00000000" w:rsidR="00000000" w:rsidRPr="00000000">
        <w:rPr>
          <w:rtl w:val="0"/>
        </w:rPr>
        <w:t xml:space="preserve">2.2 Частные случаи формул Ньютона-Котеса (трапеций, Симпсона) 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9ztbu840z4ps" w:id="35"/>
      <w:bookmarkEnd w:id="35"/>
      <w:r w:rsidDel="00000000" w:rsidR="00000000" w:rsidRPr="00000000">
        <w:rPr>
          <w:rtl w:val="0"/>
        </w:rPr>
        <w:t xml:space="preserve">2.3 Алгебраическая степень точности простейших формул Ньютона-Котеса (трапеций, Симпсона)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ajeolj7gtxem" w:id="36"/>
      <w:bookmarkEnd w:id="36"/>
      <w:r w:rsidDel="00000000" w:rsidR="00000000" w:rsidRPr="00000000">
        <w:rPr>
          <w:rtl w:val="0"/>
        </w:rPr>
        <w:t xml:space="preserve">3. Составные квадратурные формулы Ньютона-Котеса </w:t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nhbfsfwk4wzq" w:id="37"/>
      <w:bookmarkEnd w:id="37"/>
      <w:r w:rsidDel="00000000" w:rsidR="00000000" w:rsidRPr="00000000">
        <w:rPr>
          <w:rtl w:val="0"/>
        </w:rPr>
        <w:t xml:space="preserve">3.1 Составные квадратурные формулы Ньютона-Котеса (трапеций, Симпсона)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664.8425196850417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22.png"/><Relationship Id="rId24" Type="http://schemas.openxmlformats.org/officeDocument/2006/relationships/image" Target="media/image2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1.png"/><Relationship Id="rId25" Type="http://schemas.openxmlformats.org/officeDocument/2006/relationships/image" Target="media/image26.png"/><Relationship Id="rId28" Type="http://schemas.openxmlformats.org/officeDocument/2006/relationships/image" Target="media/image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8.png"/><Relationship Id="rId7" Type="http://schemas.openxmlformats.org/officeDocument/2006/relationships/image" Target="media/image17.png"/><Relationship Id="rId8" Type="http://schemas.openxmlformats.org/officeDocument/2006/relationships/image" Target="media/image13.png"/><Relationship Id="rId31" Type="http://schemas.openxmlformats.org/officeDocument/2006/relationships/image" Target="media/image6.png"/><Relationship Id="rId30" Type="http://schemas.openxmlformats.org/officeDocument/2006/relationships/image" Target="media/image30.png"/><Relationship Id="rId11" Type="http://schemas.openxmlformats.org/officeDocument/2006/relationships/image" Target="media/image19.png"/><Relationship Id="rId33" Type="http://schemas.openxmlformats.org/officeDocument/2006/relationships/image" Target="media/image5.png"/><Relationship Id="rId10" Type="http://schemas.openxmlformats.org/officeDocument/2006/relationships/image" Target="media/image15.png"/><Relationship Id="rId32" Type="http://schemas.openxmlformats.org/officeDocument/2006/relationships/image" Target="media/image12.png"/><Relationship Id="rId13" Type="http://schemas.openxmlformats.org/officeDocument/2006/relationships/image" Target="media/image11.png"/><Relationship Id="rId35" Type="http://schemas.openxmlformats.org/officeDocument/2006/relationships/image" Target="media/image9.png"/><Relationship Id="rId12" Type="http://schemas.openxmlformats.org/officeDocument/2006/relationships/image" Target="media/image10.png"/><Relationship Id="rId34" Type="http://schemas.openxmlformats.org/officeDocument/2006/relationships/image" Target="media/image25.png"/><Relationship Id="rId15" Type="http://schemas.openxmlformats.org/officeDocument/2006/relationships/image" Target="media/image2.png"/><Relationship Id="rId14" Type="http://schemas.openxmlformats.org/officeDocument/2006/relationships/image" Target="media/image20.png"/><Relationship Id="rId17" Type="http://schemas.openxmlformats.org/officeDocument/2006/relationships/image" Target="media/image7.png"/><Relationship Id="rId16" Type="http://schemas.openxmlformats.org/officeDocument/2006/relationships/image" Target="media/image23.png"/><Relationship Id="rId19" Type="http://schemas.openxmlformats.org/officeDocument/2006/relationships/image" Target="media/image4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