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ПЕРЕЧЕНЬ ВОПРОСОВ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экзамену по дисциплине «</w:t>
      </w:r>
      <w:r w:rsidDel="00000000" w:rsidR="00000000" w:rsidRPr="00000000">
        <w:rPr>
          <w:b w:val="1"/>
          <w:sz w:val="24"/>
          <w:szCs w:val="24"/>
          <w:rtl w:val="0"/>
        </w:rPr>
        <w:t xml:space="preserve">Веб-сервисы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Протоколы SOAP, RPC, TCP.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Адрес, связывание, контракт.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Типы контрактов, способы связывания адресов и контрактов.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Контракты данных, контракты сервисов.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Язык XML, язык описания веб-сервисов WSDL.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Протоколы транспортного и прикладного уровней.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интерфейсов и сервисов, атрибуты Data Contract, Service Contract.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Stateless, statefull подходы.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Правила построения URL, именование адресов и методов в REST.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Виды Token в REST.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Регистрация, авторизация, аутентификация.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Авторизация формами, авторизация токенами.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OAUTH и OAUTH2.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Single sign-on.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Инвалидация кэша и токенов.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Форматы JSON, XML в REST.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Различия между REST и RESTful.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Коды состояний HTTP.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Обработка ошибок HTTP.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Заголовки запроса, тело запроса. Заголовки безопасности.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Cross Origin Site Scripting.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Идемпотентные и неидемпотентные запросы.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Кроссдоменные запросы.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right="-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Use-Case Oriented Design, многослойная архитектура.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Уровни абстракций приложения, делегирование обязанностей.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Микросервисы. Свойства архитектуры. Разбиение через сервисы.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Smart endpoints and dumb pipes в микросервисной архитектуре.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Децентрализация управления в микросервисной архитектуре.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Service Oriented Architecture.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Bounded Context. Масштабируемость. Повторное использование.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Развертывание. Continuous Integration, Delivery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Octopus. Team City. TFS.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Event Sourcing. Событийно-ориентированный подход.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Event Store. Использование снепшотов состояния для повышения производительности.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Облачные технологии. Актуальные сервисы в Azure, Amazon, Yandex Cloud.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right="-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Облачные технологии. Контейнеризация, Kubernetess Service Fabric.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right="-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Облачные технологии. Хранилища данных. API Gateway. Децентрализация данных. Стратегии кэширования Redis.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+PlNs/ilbqizdxPXE7j+IFYwlg==">CgMxLjA4AHIhMTdMUlRTcTJSSUlubFVLMmVUVUxKRjlmdDRWYlVxeldK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