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6.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INFORME DE AVANCE No. 4</w:t>
      </w:r>
    </w:p>
    <w:p>
      <w:pPr>
        <w:pStyle w:val="normal1"/>
        <w:rPr/>
      </w:pPr>
      <w:r>
        <w:rPr/>
      </w:r>
    </w:p>
    <w:p>
      <w:pPr>
        <w:pStyle w:val="normal1"/>
        <w:rPr/>
      </w:pPr>
      <w:r>
        <w:rPr>
          <w:b/>
          <w:bCs/>
        </w:rPr>
        <w:t xml:space="preserve">PROYECTO: </w:t>
      </w:r>
      <w:r>
        <w:rPr/>
        <w:t>Aplicativo Móvil Basado en Evaluación de Riesgo, Chatbot con Inteligencia Artificial y Educación Interactiva para la Detección Temprana del VIH/SIDA</w:t>
      </w:r>
    </w:p>
    <w:p>
      <w:pPr>
        <w:pStyle w:val="normal1"/>
        <w:rPr>
          <w:b/>
          <w:bCs/>
        </w:rPr>
      </w:pPr>
      <w:r>
        <w:rPr>
          <w:b/>
          <w:bCs/>
        </w:rPr>
      </w:r>
    </w:p>
    <w:p>
      <w:pPr>
        <w:pStyle w:val="normal1"/>
        <w:rPr/>
      </w:pPr>
      <w:r>
        <w:rPr>
          <w:b/>
          <w:bCs/>
        </w:rPr>
        <w:t xml:space="preserve">SEMILLERO DE INVESTIGACIÓN: </w:t>
      </w:r>
      <w:r>
        <w:rPr/>
        <w:t>SINGBIO</w:t>
      </w:r>
    </w:p>
    <w:p>
      <w:pPr>
        <w:pStyle w:val="normal1"/>
        <w:rPr/>
      </w:pPr>
      <w:r>
        <w:rPr>
          <w:b/>
          <w:bCs/>
        </w:rPr>
        <w:t xml:space="preserve">INVESTIGADOR PRINCIPAL: </w:t>
      </w:r>
      <w:r>
        <w:rPr/>
        <w:t>Sergio Henao Arbeláez</w:t>
      </w:r>
    </w:p>
    <w:p>
      <w:pPr>
        <w:pStyle w:val="normal1"/>
        <w:rPr/>
      </w:pPr>
      <w:r>
        <w:rPr>
          <w:b/>
          <w:bCs/>
        </w:rPr>
        <w:t xml:space="preserve">COINVESTIGADOR 1: </w:t>
      </w:r>
      <w:r>
        <w:rPr>
          <w:b w:val="false"/>
          <w:bCs w:val="false"/>
        </w:rPr>
        <w:t>Julio César Caicedo Eraso</w:t>
      </w:r>
    </w:p>
    <w:p>
      <w:pPr>
        <w:pStyle w:val="normal1"/>
        <w:rPr>
          <w:b w:val="false"/>
          <w:bCs w:val="false"/>
        </w:rPr>
      </w:pPr>
      <w:r>
        <w:rPr>
          <w:b/>
          <w:bCs/>
        </w:rPr>
        <w:t xml:space="preserve">COINVESTIGADOR 2: </w:t>
      </w:r>
      <w:r>
        <w:rPr>
          <w:b w:val="false"/>
          <w:bCs w:val="false"/>
        </w:rPr>
        <w:t>Diana Rocío Varón Serna</w:t>
      </w:r>
    </w:p>
    <w:p>
      <w:pPr>
        <w:pStyle w:val="normal1"/>
        <w:rPr/>
      </w:pPr>
      <w:r>
        <w:rPr/>
      </w:r>
    </w:p>
    <w:p>
      <w:pPr>
        <w:pStyle w:val="normal1"/>
        <w:rPr/>
      </w:pPr>
      <w:r>
        <w:rPr>
          <w:b/>
          <w:bCs/>
        </w:rPr>
        <w:t>FECHA</w:t>
      </w:r>
      <w:r>
        <w:rPr/>
        <w:t>: 1</w:t>
      </w:r>
      <w:r>
        <w:rPr/>
        <w:t>7</w:t>
      </w:r>
      <w:r>
        <w:rPr/>
        <w:t>/04/2026</w:t>
      </w:r>
    </w:p>
    <w:p>
      <w:pPr>
        <w:pStyle w:val="normal1"/>
        <w:rPr>
          <w:b/>
          <w:bCs/>
        </w:rPr>
      </w:pPr>
      <w:r>
        <w:rPr>
          <w:b/>
          <w:bCs/>
        </w:rPr>
      </w:r>
    </w:p>
    <w:p>
      <w:pPr>
        <w:pStyle w:val="normal1"/>
        <w:rPr>
          <w:b/>
          <w:bCs/>
        </w:rPr>
      </w:pPr>
      <w:r>
        <w:rPr>
          <w:b/>
          <w:bCs/>
        </w:rPr>
        <w:t>1. Introducción</w:t>
      </w:r>
    </w:p>
    <w:p>
      <w:pPr>
        <w:pStyle w:val="normal1"/>
        <w:rPr>
          <w:b/>
          <w:bCs/>
        </w:rPr>
      </w:pPr>
      <w:r>
        <w:rPr>
          <w:b/>
          <w:bCs/>
        </w:rPr>
      </w:r>
    </w:p>
    <w:p>
      <w:pPr>
        <w:pStyle w:val="normal1"/>
        <w:rPr/>
      </w:pPr>
      <w:r>
        <w:rPr/>
        <w:t>El presente informe (Avance No. 4) tiene como objetivo documentar de manera explícita y metodológicamente rigurosa el proceso de construcción, adaptación y validación del instrumento de evaluación de riesgo de VIH basado en la herramienta MySTIRisk, adaptado al contexto de Manizales, Colombia. Este informe responde a las observaciones realizadas tras la revisión de los avances previos, fortaleciendo especialmente:</w:t>
      </w:r>
    </w:p>
    <w:p>
      <w:pPr>
        <w:pStyle w:val="normal1"/>
        <w:rPr/>
      </w:pPr>
      <w:r>
        <w:rPr/>
      </w:r>
    </w:p>
    <w:p>
      <w:pPr>
        <w:pStyle w:val="normal1"/>
        <w:rPr/>
      </w:pPr>
      <w:r>
        <w:rPr/>
        <w:t>- La claridad en la descripción de las etapas metodológicas de adaptación.</w:t>
      </w:r>
    </w:p>
    <w:p>
      <w:pPr>
        <w:pStyle w:val="normal1"/>
        <w:rPr/>
      </w:pPr>
      <w:r>
        <w:rPr/>
        <w:t>- El detalle del proceso de validación por revisión de expertos.</w:t>
      </w:r>
    </w:p>
    <w:p>
      <w:pPr>
        <w:pStyle w:val="normal1"/>
        <w:rPr/>
      </w:pPr>
      <w:r>
        <w:rPr/>
        <w:t>- La verificación formal de la claridad y pertinancia del instrumento con usuarios representativos.</w:t>
      </w:r>
    </w:p>
    <w:p>
      <w:pPr>
        <w:pStyle w:val="normal1"/>
        <w:rPr/>
      </w:pPr>
      <w:r>
        <w:rPr/>
        <w:t>- La inclusión explícita de la prueba piloto como fase metodológica planificada.</w:t>
      </w:r>
    </w:p>
    <w:p>
      <w:pPr>
        <w:pStyle w:val="normal1"/>
        <w:rPr/>
      </w:pPr>
      <w:r>
        <w:rPr/>
        <w:t>- El sustento teórico del instrumento con base en evidencia científica.</w:t>
      </w:r>
    </w:p>
    <w:p>
      <w:pPr>
        <w:pStyle w:val="normal1"/>
        <w:rPr/>
      </w:pPr>
      <w:r>
        <w:rPr/>
        <w:t>- El uso de lenguaje propio de investigación.</w:t>
      </w:r>
    </w:p>
    <w:p>
      <w:pPr>
        <w:pStyle w:val="normal1"/>
        <w:rPr/>
      </w:pPr>
      <w:r>
        <w:rPr/>
        <w:t>- La alineación de las conclusiones con el objetivo específico del proyecto.</w:t>
      </w:r>
    </w:p>
    <w:p>
      <w:pPr>
        <w:pStyle w:val="normal1"/>
        <w:rPr/>
      </w:pPr>
      <w:r>
        <w:rPr/>
      </w:r>
    </w:p>
    <w:p>
      <w:pPr>
        <w:pStyle w:val="normal1"/>
        <w:rPr/>
      </w:pPr>
      <w:r>
        <w:rPr/>
        <w:t>Se espera que este informe sirva como evidencia del cumplimiento del objetivo relacionado con la construcción y validación del instrumento, previo a su implementación en el aplicativo móvil.</w:t>
      </w:r>
    </w:p>
    <w:p>
      <w:pPr>
        <w:pStyle w:val="normal1"/>
        <w:rPr/>
      </w:pPr>
      <w:r>
        <w:rPr/>
      </w:r>
    </w:p>
    <w:p>
      <w:pPr>
        <w:pStyle w:val="normal1"/>
        <w:rPr>
          <w:b/>
          <w:bCs/>
        </w:rPr>
      </w:pPr>
      <w:r>
        <w:rPr>
          <w:b/>
          <w:bCs/>
        </w:rPr>
        <w:t>2. Objetivo de la Fase (Alineado con el objetivo específico del proyecto)</w:t>
      </w:r>
    </w:p>
    <w:p>
      <w:pPr>
        <w:pStyle w:val="normal1"/>
        <w:rPr/>
      </w:pPr>
      <w:r>
        <w:rPr/>
      </w:r>
    </w:p>
    <w:p>
      <w:pPr>
        <w:pStyle w:val="normal1"/>
        <w:rPr/>
      </w:pPr>
      <w:r>
        <w:rPr/>
        <w:t>Construir y validar un instrumento de evaluación de riesgo de VIH adaptado al contexto de Manizales, Colombia, mediante:</w:t>
      </w:r>
    </w:p>
    <w:p>
      <w:pPr>
        <w:pStyle w:val="normal1"/>
        <w:rPr/>
      </w:pPr>
      <w:r>
        <w:rPr/>
      </w:r>
    </w:p>
    <w:p>
      <w:pPr>
        <w:pStyle w:val="normal1"/>
        <w:rPr/>
      </w:pPr>
      <w:r>
        <w:rPr/>
        <w:t xml:space="preserve">1. </w:t>
      </w:r>
      <w:r>
        <w:rPr/>
        <w:t>La adaptación semántica y cultural del instrumento MySTIRisk.</w:t>
      </w:r>
    </w:p>
    <w:p>
      <w:pPr>
        <w:pStyle w:val="normal1"/>
        <w:rPr/>
      </w:pPr>
      <w:r>
        <w:rPr/>
        <w:t>2. La validación de contenido por revisión de expertos (claridad, pertinencia y coherencia clínica).</w:t>
      </w:r>
    </w:p>
    <w:p>
      <w:pPr>
        <w:pStyle w:val="normal1"/>
        <w:rPr/>
      </w:pPr>
      <w:r>
        <w:rPr/>
        <w:t>3. La verificación de la claridad y comprensibilidad del instrumento en un grupo reducido de usuarios pertenecientes a la población objetivo.</w:t>
      </w:r>
    </w:p>
    <w:p>
      <w:pPr>
        <w:pStyle w:val="normal1"/>
        <w:rPr/>
      </w:pPr>
      <w:r>
        <w:rPr/>
        <w:t>4. La planificación formal de una prueba piloto que permita evaluar el funcionamiento del instrumento antes de su implementación digital.</w:t>
        <w:br/>
        <w:br/>
      </w:r>
    </w:p>
    <w:p>
      <w:pPr>
        <w:pStyle w:val="normal1"/>
        <w:rPr/>
      </w:pPr>
      <w:r>
        <w:rPr/>
      </w:r>
    </w:p>
    <w:p>
      <w:pPr>
        <w:pStyle w:val="normal1"/>
        <w:rPr>
          <w:b/>
          <w:bCs/>
        </w:rPr>
      </w:pPr>
      <w:r>
        <w:rPr>
          <w:b/>
          <w:bCs/>
        </w:rPr>
        <w:t>3. Metodología del Proceso de Adaptación y Validación</w:t>
      </w:r>
    </w:p>
    <w:p>
      <w:pPr>
        <w:pStyle w:val="normal1"/>
        <w:rPr/>
      </w:pPr>
      <w:r>
        <w:rPr/>
      </w:r>
    </w:p>
    <w:p>
      <w:pPr>
        <w:pStyle w:val="normal1"/>
        <w:rPr/>
      </w:pPr>
      <w:r>
        <w:rPr/>
        <w:t>Se implementó un proceso estructurado en cinco etapas metodológicas, descritas a continuación con lenguaje técnico y detalle procedimental.</w:t>
      </w:r>
    </w:p>
    <w:p>
      <w:pPr>
        <w:pStyle w:val="normal1"/>
        <w:rPr/>
      </w:pPr>
      <w:r>
        <w:rPr/>
      </w:r>
    </w:p>
    <w:p>
      <w:pPr>
        <w:pStyle w:val="normal1"/>
        <w:rPr>
          <w:i/>
          <w:iCs/>
        </w:rPr>
      </w:pPr>
      <w:r>
        <w:rPr>
          <w:i/>
          <w:iCs/>
        </w:rPr>
        <w:t>Etapa 1: Análisis estructural y funcional del instrumento original</w:t>
      </w:r>
    </w:p>
    <w:p>
      <w:pPr>
        <w:pStyle w:val="normal1"/>
        <w:rPr>
          <w:i/>
          <w:iCs/>
        </w:rPr>
      </w:pPr>
      <w:r>
        <w:rPr>
          <w:i/>
          <w:iCs/>
        </w:rPr>
      </w:r>
    </w:p>
    <w:p>
      <w:pPr>
        <w:pStyle w:val="normal1"/>
        <w:rPr/>
      </w:pPr>
      <w:r>
        <w:rPr/>
        <w:t>Procedimiento: Se realizó una navegación controlada de la herramienta digital MySTIRisk disponible en su sitio oficial (mystirisk.mshc.org.au). Se documentó el flujo completo de preguntas, identificando:</w:t>
      </w:r>
    </w:p>
    <w:p>
      <w:pPr>
        <w:pStyle w:val="normal1"/>
        <w:rPr/>
      </w:pPr>
      <w:r>
        <w:rPr/>
      </w:r>
    </w:p>
    <w:p>
      <w:pPr>
        <w:pStyle w:val="normal1"/>
        <w:rPr/>
      </w:pPr>
      <w:r>
        <w:rPr/>
        <w:t>- Preguntas fijas (presentadas a todos los usuarios).</w:t>
      </w:r>
    </w:p>
    <w:p>
      <w:pPr>
        <w:pStyle w:val="normal1"/>
        <w:rPr/>
      </w:pPr>
      <w:r>
        <w:rPr/>
        <w:t>- Preguntas condicionales (ramificaciones activadas por respuestas específicas).</w:t>
      </w:r>
    </w:p>
    <w:p>
      <w:pPr>
        <w:pStyle w:val="normal1"/>
        <w:rPr/>
      </w:pPr>
      <w:r>
        <w:rPr/>
        <w:t>- Variables predictoras que alimentan el algoritmo de machine learning.</w:t>
      </w:r>
    </w:p>
    <w:p>
      <w:pPr>
        <w:pStyle w:val="normal1"/>
        <w:rPr/>
      </w:pPr>
      <w:r>
        <w:rPr/>
      </w:r>
    </w:p>
    <w:p>
      <w:pPr>
        <w:pStyle w:val="normal1"/>
        <w:rPr/>
      </w:pPr>
      <w:r>
        <w:rPr/>
        <w:t>Resultado: Se identificaron 12 preguntas fijas y 7 condicionales, con un máximo de 19 interacciones posibles por usuario. Este mapeo permitió preservar la integridad del algoritmo original durante la adaptación.</w:t>
      </w:r>
    </w:p>
    <w:p>
      <w:pPr>
        <w:pStyle w:val="normal1"/>
        <w:rPr/>
      </w:pPr>
      <w:r>
        <w:rPr/>
      </w:r>
    </w:p>
    <w:p>
      <w:pPr>
        <w:pStyle w:val="normal1"/>
        <w:rPr>
          <w:b w:val="false"/>
          <w:bCs w:val="false"/>
          <w:i/>
          <w:iCs/>
        </w:rPr>
      </w:pPr>
      <w:r>
        <w:rPr>
          <w:b w:val="false"/>
          <w:bCs w:val="false"/>
          <w:i/>
          <w:iCs/>
        </w:rPr>
        <w:t>Etapa 2: Adaptación semántica y cultural</w:t>
      </w:r>
    </w:p>
    <w:p>
      <w:pPr>
        <w:pStyle w:val="normal1"/>
        <w:rPr/>
      </w:pPr>
      <w:r>
        <w:rPr/>
      </w:r>
    </w:p>
    <w:p>
      <w:pPr>
        <w:pStyle w:val="normal1"/>
        <w:rPr/>
      </w:pPr>
      <w:r>
        <w:rPr/>
        <w:t>P</w:t>
      </w:r>
      <w:r>
        <w:rPr/>
        <w:t>rocedimiento: Se realizó una adaptación lingüística de cada ítem, reemplazando términos y referencias propias del contexto australiano (ej. "Australia o Nueva Zelanda", "sex worker") por equivalentes comprensibles en Manizales, Colombia. Cada adaptación fue documentada con su justificación, asegurando que el constructo clínico de la variable predictora no se alterara.</w:t>
      </w:r>
    </w:p>
    <w:p>
      <w:pPr>
        <w:pStyle w:val="normal1"/>
        <w:rPr/>
      </w:pPr>
      <w:r>
        <w:rPr/>
      </w:r>
    </w:p>
    <w:p>
      <w:pPr>
        <w:pStyle w:val="normal1"/>
        <w:rPr/>
      </w:pPr>
      <w:r>
        <w:rPr/>
        <w:t>Criterios aplicados:</w:t>
      </w:r>
    </w:p>
    <w:p>
      <w:pPr>
        <w:pStyle w:val="normal1"/>
        <w:rPr/>
      </w:pPr>
      <w:r>
        <w:rPr/>
        <w:t>- Mantener el significado clínico original.</w:t>
      </w:r>
    </w:p>
    <w:p>
      <w:pPr>
        <w:pStyle w:val="normal1"/>
        <w:rPr/>
      </w:pPr>
      <w:r>
        <w:rPr/>
        <w:t>- Utilizar lenguaje cotidiano y comprensible para la población local.</w:t>
      </w:r>
    </w:p>
    <w:p>
      <w:pPr>
        <w:pStyle w:val="normal1"/>
        <w:rPr/>
      </w:pPr>
      <w:r>
        <w:rPr/>
        <w:t>- Evitar términos estigmatizantes o técnicamente innecesarios.</w:t>
      </w:r>
    </w:p>
    <w:p>
      <w:pPr>
        <w:pStyle w:val="normal1"/>
        <w:rPr/>
      </w:pPr>
      <w:r>
        <w:rPr/>
      </w:r>
    </w:p>
    <w:p>
      <w:pPr>
        <w:pStyle w:val="normal1"/>
        <w:rPr/>
      </w:pPr>
      <w:r>
        <w:rPr/>
        <w:t>Etapa 3: Validación por revisión de expertos</w:t>
      </w:r>
    </w:p>
    <w:p>
      <w:pPr>
        <w:pStyle w:val="normal1"/>
        <w:rPr/>
      </w:pPr>
      <w:r>
        <w:rPr/>
      </w:r>
    </w:p>
    <w:p>
      <w:pPr>
        <w:pStyle w:val="normal1"/>
        <w:rPr/>
      </w:pPr>
      <w:r>
        <w:rPr/>
        <w:t>Procedimiento: La versión adaptada del instrumento fue sometida a una revisión estructurada por parte del asesor médico especialista en salud sexual. La revisión se realizó mediante un **formato de evaluación** que valoró tres aspectos por cada pregunta:</w:t>
      </w:r>
    </w:p>
    <w:p>
      <w:pPr>
        <w:pStyle w:val="normal1"/>
        <w:rPr/>
      </w:pPr>
      <w:r>
        <w:rPr/>
      </w:r>
    </w:p>
    <w:tbl>
      <w:tblPr>
        <w:tblW w:w="5000" w:type="pct"/>
        <w:jc w:val="start"/>
        <w:tblInd w:w="0" w:type="dxa"/>
        <w:tblLayout w:type="fixed"/>
        <w:tblCellMar>
          <w:top w:w="0" w:type="dxa"/>
          <w:start w:w="0" w:type="dxa"/>
          <w:bottom w:w="0" w:type="dxa"/>
          <w:end w:w="0" w:type="dxa"/>
        </w:tblCellMar>
      </w:tblPr>
      <w:tblGrid>
        <w:gridCol w:w="4513"/>
        <w:gridCol w:w="4513"/>
      </w:tblGrid>
      <w:tr>
        <w:trPr/>
        <w:tc>
          <w:tcPr>
            <w:tcW w:w="4513" w:type="dxa"/>
            <w:tcBorders/>
          </w:tcPr>
          <w:p>
            <w:pPr>
              <w:pStyle w:val="Contenidodelatabla"/>
              <w:rPr/>
            </w:pPr>
            <w:r>
              <w:rPr>
                <w:b/>
                <w:bCs/>
              </w:rPr>
              <w:t>Aspecto evaluado</w:t>
            </w:r>
            <w:r>
              <w:rPr/>
              <w:tab/>
            </w:r>
          </w:p>
        </w:tc>
        <w:tc>
          <w:tcPr>
            <w:tcW w:w="4513" w:type="dxa"/>
            <w:tcBorders/>
          </w:tcPr>
          <w:p>
            <w:pPr>
              <w:pStyle w:val="Contenidodelatabla"/>
              <w:rPr>
                <w:b/>
                <w:bCs/>
              </w:rPr>
            </w:pPr>
            <w:r>
              <w:rPr>
                <w:b/>
                <w:bCs/>
              </w:rPr>
              <w:t>Definición operativa</w:t>
            </w:r>
          </w:p>
        </w:tc>
      </w:tr>
      <w:tr>
        <w:trPr/>
        <w:tc>
          <w:tcPr>
            <w:tcW w:w="4513" w:type="dxa"/>
            <w:tcBorders/>
          </w:tcPr>
          <w:p>
            <w:pPr>
              <w:pStyle w:val="Contenidodelatabla"/>
              <w:rPr/>
            </w:pPr>
            <w:r>
              <w:rPr/>
              <w:t>Claridad lingüística</w:t>
              <w:tab/>
            </w:r>
          </w:p>
        </w:tc>
        <w:tc>
          <w:tcPr>
            <w:tcW w:w="4513" w:type="dxa"/>
            <w:tcBorders/>
          </w:tcPr>
          <w:p>
            <w:pPr>
              <w:pStyle w:val="Contenidodelatabla"/>
              <w:rPr/>
            </w:pPr>
            <w:r>
              <w:rPr/>
              <w:t>La pregunta es comprensible para un usuario de la población objetivo (estudiantes, adultos jóvenes).</w:t>
            </w:r>
          </w:p>
        </w:tc>
      </w:tr>
      <w:tr>
        <w:trPr/>
        <w:tc>
          <w:tcPr>
            <w:tcW w:w="4513" w:type="dxa"/>
            <w:tcBorders/>
          </w:tcPr>
          <w:p>
            <w:pPr>
              <w:pStyle w:val="Contenidodelatabla"/>
              <w:rPr/>
            </w:pPr>
            <w:r>
              <w:rPr/>
              <w:t>Pertinencia cultural</w:t>
              <w:tab/>
            </w:r>
          </w:p>
        </w:tc>
        <w:tc>
          <w:tcPr>
            <w:tcW w:w="4513" w:type="dxa"/>
            <w:tcBorders/>
          </w:tcPr>
          <w:p>
            <w:pPr>
              <w:pStyle w:val="Contenidodelatabla"/>
              <w:rPr/>
            </w:pPr>
            <w:r>
              <w:rPr/>
              <w:t>La adaptación refleja adecuadamente las prácticas, creencias y contexto de Manizales.</w:t>
            </w:r>
          </w:p>
        </w:tc>
      </w:tr>
      <w:tr>
        <w:trPr/>
        <w:tc>
          <w:tcPr>
            <w:tcW w:w="4513" w:type="dxa"/>
            <w:tcBorders/>
          </w:tcPr>
          <w:p>
            <w:pPr>
              <w:pStyle w:val="Contenidodelatabla"/>
              <w:rPr/>
            </w:pPr>
            <w:r>
              <w:rPr/>
              <w:t>Coherencia clínica</w:t>
            </w:r>
          </w:p>
        </w:tc>
        <w:tc>
          <w:tcPr>
            <w:tcW w:w="4513" w:type="dxa"/>
            <w:tcBorders/>
          </w:tcPr>
          <w:p>
            <w:pPr>
              <w:pStyle w:val="Contenidodelatabla"/>
              <w:rPr/>
            </w:pPr>
            <w:r>
              <w:rPr/>
              <w:t>La pregunta conserva el valor predictivo original y se alinea con la variable del algoritmo MySTIRisk.</w:t>
            </w:r>
          </w:p>
        </w:tc>
      </w:tr>
    </w:tbl>
    <w:p>
      <w:pPr>
        <w:pStyle w:val="normal1"/>
        <w:rPr/>
      </w:pPr>
      <w:r>
        <w:rPr/>
      </w:r>
    </w:p>
    <w:p>
      <w:pPr>
        <w:pStyle w:val="normal1"/>
        <w:rPr/>
      </w:pPr>
      <w:r>
        <w:rPr/>
      </w:r>
    </w:p>
    <w:p>
      <w:pPr>
        <w:pStyle w:val="normal1"/>
        <w:rPr/>
      </w:pPr>
      <w:r>
        <w:rPr/>
        <w:t>El asesor emitió un juicio cualitativo por cada ítem y sugirió ajustes específicos cuando lo consideró necesario.</w:t>
      </w:r>
    </w:p>
    <w:p>
      <w:pPr>
        <w:pStyle w:val="normal1"/>
        <w:rPr/>
      </w:pPr>
      <w:r>
        <w:rPr/>
      </w:r>
    </w:p>
    <w:p>
      <w:pPr>
        <w:pStyle w:val="normal1"/>
        <w:rPr/>
      </w:pPr>
      <w:r>
        <w:rPr/>
        <w:t>Resultados: Se presentan en la sección 4.1.</w:t>
      </w:r>
    </w:p>
    <w:p>
      <w:pPr>
        <w:pStyle w:val="normal1"/>
        <w:rPr/>
      </w:pPr>
      <w:r>
        <w:rPr/>
      </w:r>
    </w:p>
    <w:p>
      <w:pPr>
        <w:pStyle w:val="normal1"/>
        <w:rPr>
          <w:i/>
          <w:iCs/>
        </w:rPr>
      </w:pPr>
      <w:r>
        <w:rPr>
          <w:i/>
          <w:iCs/>
        </w:rPr>
        <w:t>Etapa 4: Verificación de la claridad con usuarios (prueba cognitiva)</w:t>
      </w:r>
    </w:p>
    <w:p>
      <w:pPr>
        <w:pStyle w:val="normal1"/>
        <w:rPr/>
      </w:pPr>
      <w:r>
        <w:rPr/>
      </w:r>
    </w:p>
    <w:p>
      <w:pPr>
        <w:pStyle w:val="normal1"/>
        <w:rPr/>
      </w:pPr>
      <w:r>
        <w:rPr/>
        <w:t>Procedimiento: Se aplicó una prueba de claridad a un grupo reducido de tres usuarios pertenecientes a la población objetivo (estudiantes universitarios de pregrado). Se utilizó la técnica de parafraseo: se solicitó a cada participante leer cada pregunta del instrumento y explicar con sus propias palabras qué entendía. Las preguntas que presentaron dificultades de interpretación (dos o más participantes con interpretación incorrecta o dudosa) fueron reformuladas y sometidas nuevamente a verificación hasta alcanzar un consenso de claridad.</w:t>
      </w:r>
    </w:p>
    <w:p>
      <w:pPr>
        <w:pStyle w:val="normal1"/>
        <w:rPr/>
      </w:pPr>
      <w:r>
        <w:rPr/>
      </w:r>
    </w:p>
    <w:p>
      <w:pPr>
        <w:pStyle w:val="normal1"/>
        <w:rPr/>
      </w:pPr>
      <w:r>
        <w:rPr/>
        <w:t>Criterio de aceptación: ≥80% de los participantes interpretan correctamente la pregunta.</w:t>
      </w:r>
    </w:p>
    <w:p>
      <w:pPr>
        <w:pStyle w:val="normal1"/>
        <w:rPr/>
      </w:pPr>
      <w:r>
        <w:rPr/>
      </w:r>
    </w:p>
    <w:p>
      <w:pPr>
        <w:pStyle w:val="normal1"/>
        <w:rPr>
          <w:i/>
          <w:iCs/>
        </w:rPr>
      </w:pPr>
      <w:r>
        <w:rPr>
          <w:i/>
          <w:iCs/>
        </w:rPr>
        <w:t>Etapa 5: Planificación de la prueba piloto (fase metodológica posterior a la validación)</w:t>
      </w:r>
    </w:p>
    <w:p>
      <w:pPr>
        <w:pStyle w:val="normal1"/>
        <w:rPr/>
      </w:pPr>
      <w:r>
        <w:rPr/>
      </w:r>
    </w:p>
    <w:p>
      <w:pPr>
        <w:pStyle w:val="normal1"/>
        <w:rPr/>
      </w:pPr>
      <w:r>
        <w:rPr/>
        <w:t>Justificación: La prueba piloto constituye una fase metodológica obligatoria para evaluar el funcionamiento del instrumento en condiciones cercanas a su aplicación real, antes de su implementación digital. Se realizará posteriormente a la revisión experta y a la verificación de claridad aquí documentadas.</w:t>
      </w:r>
    </w:p>
    <w:p>
      <w:pPr>
        <w:pStyle w:val="normal1"/>
        <w:rPr/>
      </w:pPr>
      <w:r>
        <w:rPr/>
      </w:r>
    </w:p>
    <w:p>
      <w:pPr>
        <w:pStyle w:val="normal1"/>
        <w:rPr/>
      </w:pPr>
      <w:r>
        <w:rPr/>
        <w:t>Objetivo de la prueba piloto: Evaluar la comprensión, claridad, pertinencia cultural, tiempo de respuesta y usabilidad general del instrumento en una muestra representativa (n = 15–20 estudiantes).</w:t>
      </w:r>
    </w:p>
    <w:p>
      <w:pPr>
        <w:pStyle w:val="normal1"/>
        <w:rPr/>
      </w:pPr>
      <w:r>
        <w:rPr/>
      </w:r>
    </w:p>
    <w:p>
      <w:pPr>
        <w:pStyle w:val="normal1"/>
        <w:rPr/>
      </w:pPr>
      <w:r>
        <w:rPr/>
        <w:t>Cronograma previsto: A realizarse en la semana del 20 al 27 de abril de 2026. Los resultados serán reportados en el Avance No. 5.</w:t>
      </w:r>
    </w:p>
    <w:p>
      <w:pPr>
        <w:pStyle w:val="normal1"/>
        <w:rPr/>
      </w:pPr>
      <w:r>
        <w:rPr/>
      </w:r>
    </w:p>
    <w:p>
      <w:pPr>
        <w:pStyle w:val="normal1"/>
        <w:rPr>
          <w:b/>
          <w:bCs/>
        </w:rPr>
      </w:pPr>
      <w:r>
        <w:rPr>
          <w:b/>
          <w:bCs/>
        </w:rPr>
        <w:t>4. Resultados del Proceso de Validación</w:t>
      </w:r>
    </w:p>
    <w:p>
      <w:pPr>
        <w:pStyle w:val="normal1"/>
        <w:rPr>
          <w:i/>
          <w:iCs/>
        </w:rPr>
      </w:pPr>
      <w:r>
        <w:rPr>
          <w:i/>
          <w:iCs/>
        </w:rPr>
      </w:r>
    </w:p>
    <w:p>
      <w:pPr>
        <w:pStyle w:val="normal1"/>
        <w:rPr>
          <w:i/>
          <w:iCs/>
        </w:rPr>
      </w:pPr>
      <w:r>
        <w:rPr>
          <w:i/>
          <w:iCs/>
        </w:rPr>
        <w:t>4</w:t>
      </w:r>
      <w:r>
        <w:rPr>
          <w:i/>
          <w:iCs/>
        </w:rPr>
        <w:t>.1. Resultados de la revisión por expertos</w:t>
      </w:r>
    </w:p>
    <w:p>
      <w:pPr>
        <w:pStyle w:val="normal1"/>
        <w:rPr/>
      </w:pPr>
      <w:r>
        <w:rPr/>
      </w:r>
    </w:p>
    <w:p>
      <w:pPr>
        <w:pStyle w:val="normal1"/>
        <w:rPr/>
      </w:pPr>
      <w:r>
        <w:rPr/>
        <w:t>El asesor médico evaluó los 19 ítems del instrumento adaptado. Los resultados cuantitativos y cualitativos se presentan a continuación:</w:t>
      </w:r>
    </w:p>
    <w:p>
      <w:pPr>
        <w:pStyle w:val="normal1"/>
        <w:rPr/>
      </w:pPr>
      <w:r>
        <w:rPr/>
      </w:r>
    </w:p>
    <w:tbl>
      <w:tblPr>
        <w:tblW w:w="5000" w:type="pct"/>
        <w:jc w:val="start"/>
        <w:tblInd w:w="0" w:type="dxa"/>
        <w:tblLayout w:type="fixed"/>
        <w:tblCellMar>
          <w:top w:w="0" w:type="dxa"/>
          <w:start w:w="0" w:type="dxa"/>
          <w:bottom w:w="0" w:type="dxa"/>
          <w:end w:w="0" w:type="dxa"/>
        </w:tblCellMar>
      </w:tblPr>
      <w:tblGrid>
        <w:gridCol w:w="3008"/>
        <w:gridCol w:w="3009"/>
        <w:gridCol w:w="3009"/>
      </w:tblGrid>
      <w:tr>
        <w:trPr/>
        <w:tc>
          <w:tcPr>
            <w:tcW w:w="3008" w:type="dxa"/>
            <w:tcBorders/>
          </w:tcPr>
          <w:p>
            <w:pPr>
              <w:pStyle w:val="Contenidodelatabla"/>
              <w:rPr>
                <w:b/>
                <w:bCs/>
              </w:rPr>
            </w:pPr>
            <w:r>
              <w:rPr>
                <w:b/>
                <w:bCs/>
              </w:rPr>
              <w:t>Aspecto evaluado</w:t>
            </w:r>
          </w:p>
        </w:tc>
        <w:tc>
          <w:tcPr>
            <w:tcW w:w="3009" w:type="dxa"/>
            <w:tcBorders/>
          </w:tcPr>
          <w:p>
            <w:pPr>
              <w:pStyle w:val="Contenidodelatabla"/>
              <w:rPr>
                <w:b/>
                <w:bCs/>
              </w:rPr>
            </w:pPr>
            <w:r>
              <w:rPr>
                <w:b/>
                <w:bCs/>
              </w:rPr>
              <w:t>Porcentaje de ítems calificados favorablemente</w:t>
            </w:r>
          </w:p>
        </w:tc>
        <w:tc>
          <w:tcPr>
            <w:tcW w:w="3009" w:type="dxa"/>
            <w:tcBorders/>
          </w:tcPr>
          <w:p>
            <w:pPr>
              <w:pStyle w:val="Contenidodelatabla"/>
              <w:rPr>
                <w:b/>
                <w:bCs/>
              </w:rPr>
            </w:pPr>
            <w:r>
              <w:rPr>
                <w:b/>
                <w:bCs/>
              </w:rPr>
              <w:t>Observaciones principales</w:t>
            </w:r>
          </w:p>
        </w:tc>
      </w:tr>
      <w:tr>
        <w:trPr/>
        <w:tc>
          <w:tcPr>
            <w:tcW w:w="3008" w:type="dxa"/>
            <w:tcBorders/>
          </w:tcPr>
          <w:p>
            <w:pPr>
              <w:pStyle w:val="Contenidodelatabla"/>
              <w:rPr/>
            </w:pPr>
            <w:r>
              <w:rPr/>
              <w:t>Claridad lingüística</w:t>
            </w:r>
          </w:p>
        </w:tc>
        <w:tc>
          <w:tcPr>
            <w:tcW w:w="3009" w:type="dxa"/>
            <w:tcBorders/>
          </w:tcPr>
          <w:p>
            <w:pPr>
              <w:pStyle w:val="Contenidodelatabla"/>
              <w:rPr/>
            </w:pPr>
            <w:r>
              <w:rPr/>
              <w:t>89% (17/19)</w:t>
            </w:r>
          </w:p>
        </w:tc>
        <w:tc>
          <w:tcPr>
            <w:tcW w:w="3009" w:type="dxa"/>
            <w:tcBorders/>
          </w:tcPr>
          <w:p>
            <w:pPr>
              <w:pStyle w:val="Contenidodelatabla"/>
              <w:rPr/>
            </w:pPr>
            <w:r>
              <w:rPr/>
              <w:t>Dos preguntas requirieron ajuste: trabajo sexual y uso de condones.</w:t>
            </w:r>
          </w:p>
        </w:tc>
      </w:tr>
      <w:tr>
        <w:trPr/>
        <w:tc>
          <w:tcPr>
            <w:tcW w:w="3008" w:type="dxa"/>
            <w:tcBorders/>
          </w:tcPr>
          <w:p>
            <w:pPr>
              <w:pStyle w:val="Contenidodelatabla"/>
              <w:rPr/>
            </w:pPr>
            <w:r>
              <w:rPr/>
              <w:t>Pertinencia cultural</w:t>
            </w:r>
          </w:p>
        </w:tc>
        <w:tc>
          <w:tcPr>
            <w:tcW w:w="3009" w:type="dxa"/>
            <w:tcBorders/>
          </w:tcPr>
          <w:p>
            <w:pPr>
              <w:pStyle w:val="Contenidodelatabla"/>
              <w:rPr/>
            </w:pPr>
            <w:r>
              <w:rPr/>
              <w:t>100% (19/19)</w:t>
            </w:r>
          </w:p>
        </w:tc>
        <w:tc>
          <w:tcPr>
            <w:tcW w:w="3009" w:type="dxa"/>
            <w:tcBorders/>
          </w:tcPr>
          <w:p>
            <w:pPr>
              <w:pStyle w:val="Contenidodelatabla"/>
              <w:rPr/>
            </w:pPr>
            <w:r>
              <w:rPr/>
              <w:t>Todas las adaptaciones fueron consideradas pertinentes para Manizales.</w:t>
            </w:r>
          </w:p>
          <w:p>
            <w:pPr>
              <w:pStyle w:val="Contenidodelatabla"/>
              <w:rPr/>
            </w:pPr>
            <w:r>
              <w:rPr/>
            </w:r>
          </w:p>
        </w:tc>
      </w:tr>
      <w:tr>
        <w:trPr/>
        <w:tc>
          <w:tcPr>
            <w:tcW w:w="3008" w:type="dxa"/>
            <w:tcBorders/>
          </w:tcPr>
          <w:p>
            <w:pPr>
              <w:pStyle w:val="Contenidodelatabla"/>
              <w:rPr/>
            </w:pPr>
            <w:r>
              <w:rPr/>
              <w:t xml:space="preserve">Coherencia </w:t>
            </w:r>
            <w:r>
              <w:rPr/>
              <w:t>clínica</w:t>
            </w:r>
          </w:p>
        </w:tc>
        <w:tc>
          <w:tcPr>
            <w:tcW w:w="3009" w:type="dxa"/>
            <w:tcBorders/>
          </w:tcPr>
          <w:p>
            <w:pPr>
              <w:pStyle w:val="Contenidodelatabla"/>
              <w:rPr/>
            </w:pPr>
            <w:r>
              <w:rPr/>
              <w:t xml:space="preserve">100% </w:t>
            </w:r>
            <w:r>
              <w:rPr/>
              <w:t>(19/19)</w:t>
            </w:r>
          </w:p>
        </w:tc>
        <w:tc>
          <w:tcPr>
            <w:tcW w:w="3009" w:type="dxa"/>
            <w:tcBorders/>
          </w:tcPr>
          <w:p>
            <w:pPr>
              <w:pStyle w:val="Contenidodelatabla"/>
              <w:rPr/>
            </w:pPr>
            <w:r>
              <w:rPr/>
              <w:t>Se confirmó la correspondencia con las variables predictoras originales.</w:t>
            </w:r>
          </w:p>
        </w:tc>
      </w:tr>
    </w:tbl>
    <w:p>
      <w:pPr>
        <w:pStyle w:val="normal1"/>
        <w:rPr/>
      </w:pPr>
      <w:r>
        <w:rPr/>
      </w:r>
    </w:p>
    <w:p>
      <w:pPr>
        <w:pStyle w:val="normal1"/>
        <w:rPr/>
      </w:pPr>
      <w:r>
        <w:rPr/>
      </w:r>
    </w:p>
    <w:p>
      <w:pPr>
        <w:pStyle w:val="normal1"/>
        <w:rPr>
          <w:i/>
          <w:iCs/>
        </w:rPr>
      </w:pPr>
      <w:r>
        <w:rPr>
          <w:i/>
          <w:iCs/>
        </w:rPr>
        <w:t>4.2. Ajustes concretos derivados de la revisión por expertos</w:t>
      </w:r>
    </w:p>
    <w:p>
      <w:pPr>
        <w:pStyle w:val="normal1"/>
        <w:rPr/>
      </w:pPr>
      <w:r>
        <w:rPr/>
      </w:r>
    </w:p>
    <w:p>
      <w:pPr>
        <w:pStyle w:val="normal1"/>
        <w:rPr/>
      </w:pPr>
      <w:r>
        <w:rPr/>
        <w:t>A partir de las observaciones del asesor, se realizaron los siguientes ajustes específicos:</w:t>
      </w:r>
    </w:p>
    <w:p>
      <w:pPr>
        <w:pStyle w:val="normal1"/>
        <w:rPr/>
      </w:pPr>
      <w:r>
        <w:rPr/>
      </w:r>
    </w:p>
    <w:tbl>
      <w:tblPr>
        <w:tblW w:w="5000" w:type="pct"/>
        <w:jc w:val="start"/>
        <w:tblInd w:w="0" w:type="dxa"/>
        <w:tblLayout w:type="fixed"/>
        <w:tblCellMar>
          <w:top w:w="0" w:type="dxa"/>
          <w:start w:w="0" w:type="dxa"/>
          <w:bottom w:w="0" w:type="dxa"/>
          <w:end w:w="0" w:type="dxa"/>
        </w:tblCellMar>
      </w:tblPr>
      <w:tblGrid>
        <w:gridCol w:w="3008"/>
        <w:gridCol w:w="3009"/>
        <w:gridCol w:w="3009"/>
      </w:tblGrid>
      <w:tr>
        <w:trPr/>
        <w:tc>
          <w:tcPr>
            <w:tcW w:w="3008" w:type="dxa"/>
            <w:tcBorders/>
          </w:tcPr>
          <w:p>
            <w:pPr>
              <w:pStyle w:val="Contenidodelatabla"/>
              <w:rPr>
                <w:b/>
                <w:bCs/>
              </w:rPr>
            </w:pPr>
            <w:r>
              <w:rPr>
                <w:b/>
                <w:bCs/>
              </w:rPr>
              <w:t>Variable original</w:t>
            </w:r>
          </w:p>
        </w:tc>
        <w:tc>
          <w:tcPr>
            <w:tcW w:w="3009" w:type="dxa"/>
            <w:tcBorders/>
          </w:tcPr>
          <w:p>
            <w:pPr>
              <w:pStyle w:val="Contenidodelatabla"/>
              <w:rPr>
                <w:b/>
                <w:bCs/>
              </w:rPr>
            </w:pPr>
            <w:r>
              <w:rPr>
                <w:b/>
                <w:bCs/>
              </w:rPr>
              <w:t>Pregunta adaptada</w:t>
            </w:r>
          </w:p>
        </w:tc>
        <w:tc>
          <w:tcPr>
            <w:tcW w:w="3009" w:type="dxa"/>
            <w:tcBorders/>
          </w:tcPr>
          <w:p>
            <w:pPr>
              <w:pStyle w:val="Contenidodelatabla"/>
              <w:rPr>
                <w:b/>
                <w:bCs/>
              </w:rPr>
            </w:pPr>
            <w:r>
              <w:rPr>
                <w:b/>
                <w:bCs/>
              </w:rPr>
              <w:t>Ajuste realizado</w:t>
            </w:r>
          </w:p>
        </w:tc>
      </w:tr>
      <w:tr>
        <w:trPr/>
        <w:tc>
          <w:tcPr>
            <w:tcW w:w="3008" w:type="dxa"/>
            <w:tcBorders/>
          </w:tcPr>
          <w:p>
            <w:pPr>
              <w:pStyle w:val="Contenidodelatabla"/>
              <w:rPr/>
            </w:pPr>
            <w:r>
              <w:rPr/>
              <w:t>Sex worker</w:t>
            </w:r>
          </w:p>
        </w:tc>
        <w:tc>
          <w:tcPr>
            <w:tcW w:w="3009" w:type="dxa"/>
            <w:tcBorders/>
          </w:tcPr>
          <w:p>
            <w:pPr>
              <w:pStyle w:val="Contenidodelatabla"/>
              <w:rPr/>
            </w:pPr>
            <w:r>
              <w:rPr/>
              <w:t>¿En los últimos 12 meses, has recibido dinero, bienes o servicios a cambio de tener relaciones sexuales?</w:t>
            </w:r>
          </w:p>
        </w:tc>
        <w:tc>
          <w:tcPr>
            <w:tcW w:w="3009" w:type="dxa"/>
            <w:tcBorders/>
          </w:tcPr>
          <w:p>
            <w:pPr>
              <w:pStyle w:val="Contenidodelatabla"/>
              <w:rPr/>
            </w:pPr>
            <w:r>
              <w:rPr/>
              <w:t>Se amplió la definición para incluir cualquier forma de intercambio económico o en especie, evitando el término "trabajador/a sexual" que algunos usuarios podían no asociar con su experiencia.</w:t>
            </w:r>
          </w:p>
        </w:tc>
      </w:tr>
      <w:tr>
        <w:trPr/>
        <w:tc>
          <w:tcPr>
            <w:tcW w:w="3008" w:type="dxa"/>
            <w:tcBorders/>
          </w:tcPr>
          <w:p>
            <w:pPr>
              <w:pStyle w:val="Contenidodelatabla"/>
              <w:rPr/>
            </w:pPr>
            <w:r>
              <w:rPr/>
              <w:t>Condom use with men</w:t>
            </w:r>
          </w:p>
        </w:tc>
        <w:tc>
          <w:tcPr>
            <w:tcW w:w="3009" w:type="dxa"/>
            <w:tcBorders/>
          </w:tcPr>
          <w:p>
            <w:pPr>
              <w:pStyle w:val="Contenidodelatabla"/>
              <w:rPr/>
            </w:pPr>
            <w:r>
              <w:rPr/>
              <w:t>En los últimos 12 meses, en tus relaciones sexuales (anales o vaginales) con hombres, ¿con qué frecuencia usaste condón? (Siempre / Casi siempre / A veces / Nunca / No aplica)</w:t>
            </w:r>
          </w:p>
        </w:tc>
        <w:tc>
          <w:tcPr>
            <w:tcW w:w="3009" w:type="dxa"/>
            <w:tcBorders/>
          </w:tcPr>
          <w:p>
            <w:pPr>
              <w:pStyle w:val="Contenidodelatabla"/>
              <w:rPr/>
            </w:pPr>
            <w:r>
              <w:rPr/>
              <w:t>Se estandarizó la escala de frecuencia y se añadió la opción "No aplica" para evitar respuestas forzadas.</w:t>
            </w:r>
          </w:p>
        </w:tc>
      </w:tr>
      <w:tr>
        <w:trPr/>
        <w:tc>
          <w:tcPr>
            <w:tcW w:w="3008" w:type="dxa"/>
            <w:tcBorders/>
          </w:tcPr>
          <w:p>
            <w:pPr>
              <w:pStyle w:val="Contenidodelatabla"/>
              <w:rPr/>
            </w:pPr>
            <w:r>
              <w:rPr/>
              <w:t>Country of birth</w:t>
            </w:r>
          </w:p>
        </w:tc>
        <w:tc>
          <w:tcPr>
            <w:tcW w:w="3009" w:type="dxa"/>
            <w:tcBorders/>
          </w:tcPr>
          <w:p>
            <w:pPr>
              <w:pStyle w:val="Contenidodelatabla"/>
              <w:rPr/>
            </w:pPr>
            <w:r>
              <w:rPr/>
              <w:t>¿En qué país naciste? (Opción por defecto: Colombia)</w:t>
            </w:r>
          </w:p>
        </w:tc>
        <w:tc>
          <w:tcPr>
            <w:tcW w:w="3009" w:type="dxa"/>
            <w:tcBorders/>
          </w:tcPr>
          <w:p>
            <w:pPr>
              <w:pStyle w:val="Contenidodelatabla"/>
              <w:rPr/>
            </w:pPr>
            <w:r>
              <w:rPr/>
              <w:t>Se mantiene la pregunta pero se preselecciona "Colombia" para agilizar, sin eliminar la opción de cambio.</w:t>
            </w:r>
          </w:p>
        </w:tc>
      </w:tr>
    </w:tbl>
    <w:p>
      <w:pPr>
        <w:pStyle w:val="Contenidodelatabla"/>
        <w:rPr/>
      </w:pPr>
      <w:r>
        <w:rPr/>
      </w:r>
    </w:p>
    <w:p>
      <w:pPr>
        <w:pStyle w:val="normal1"/>
        <w:jc w:val="both"/>
        <w:rPr>
          <w:i/>
          <w:iCs/>
        </w:rPr>
      </w:pPr>
      <w:r>
        <w:rPr>
          <w:i/>
          <w:iCs/>
        </w:rPr>
      </w:r>
    </w:p>
    <w:p>
      <w:pPr>
        <w:pStyle w:val="normal1"/>
        <w:jc w:val="both"/>
        <w:rPr>
          <w:i/>
          <w:iCs/>
        </w:rPr>
      </w:pPr>
      <w:r>
        <w:rPr>
          <w:i/>
          <w:iCs/>
        </w:rPr>
        <w:t>4.3. Resultados de la verificación de claridad con usuarios (prueba cognitiva)</w:t>
      </w:r>
    </w:p>
    <w:p>
      <w:pPr>
        <w:pStyle w:val="normal1"/>
        <w:rPr/>
      </w:pPr>
      <w:r>
        <w:rPr/>
      </w:r>
    </w:p>
    <w:p>
      <w:pPr>
        <w:pStyle w:val="normal1"/>
        <w:rPr/>
      </w:pPr>
      <w:r>
        <w:rPr/>
        <w:t>Se aplicó la técnica de parafraseo a tres estudiantes universitarios. Los resultados fueron:</w:t>
      </w:r>
    </w:p>
    <w:p>
      <w:pPr>
        <w:pStyle w:val="normal1"/>
        <w:rPr/>
      </w:pPr>
      <w:r>
        <w:rPr/>
      </w:r>
    </w:p>
    <w:p>
      <w:pPr>
        <w:pStyle w:val="normal1"/>
        <w:rPr/>
      </w:pPr>
      <w:r>
        <w:rPr/>
        <w:t>- Ítems correctamente interpretados a la primera: 16 de 19 (84%).</w:t>
      </w:r>
    </w:p>
    <w:p>
      <w:pPr>
        <w:pStyle w:val="normal1"/>
        <w:rPr/>
      </w:pPr>
      <w:r>
        <w:rPr/>
        <w:t>- Ítems que requirieron reformulación: 3 (trabajo sexual, sexo en el extranjero, síntomas de ITS).</w:t>
      </w:r>
    </w:p>
    <w:p>
      <w:pPr>
        <w:pStyle w:val="normal1"/>
        <w:rPr/>
      </w:pPr>
      <w:r>
        <w:rPr/>
      </w:r>
    </w:p>
    <w:p>
      <w:pPr>
        <w:pStyle w:val="normal1"/>
        <w:rPr>
          <w:b/>
          <w:bCs/>
        </w:rPr>
      </w:pPr>
      <w:r>
        <w:rPr>
          <w:b/>
          <w:bCs/>
        </w:rPr>
        <w:t>5. Sustento Teórico del Instrumento MySTIRisk</w:t>
      </w:r>
    </w:p>
    <w:p>
      <w:pPr>
        <w:pStyle w:val="normal1"/>
        <w:rPr/>
      </w:pPr>
      <w:r>
        <w:rPr/>
      </w:r>
    </w:p>
    <w:p>
      <w:pPr>
        <w:pStyle w:val="normal1"/>
        <w:rPr/>
      </w:pPr>
      <w:r>
        <w:rPr/>
        <w:t>El instrumento MySTIRisk fue seleccionado por fundamentarse en un modelo predictivo basado en **machine learning** (Gradient Boosting, Random Forest), entrenado y validado con grandes volúmenes de datos clínicos del Melbourne Sexual Health Centre (Australia). Las variables predictoras que utiliza están respaldadas por la evidencia científica como factores de riesgo clave para la adquisición de VIH y otras ITS:</w:t>
      </w:r>
    </w:p>
    <w:p>
      <w:pPr>
        <w:pStyle w:val="normal1"/>
        <w:rPr/>
      </w:pPr>
      <w:r>
        <w:rPr/>
      </w:r>
    </w:p>
    <w:p>
      <w:pPr>
        <w:pStyle w:val="normal1"/>
        <w:rPr/>
      </w:pPr>
      <w:r>
        <w:rPr/>
      </w:r>
    </w:p>
    <w:tbl>
      <w:tblPr>
        <w:tblW w:w="5000" w:type="pct"/>
        <w:jc w:val="start"/>
        <w:tblInd w:w="0" w:type="dxa"/>
        <w:tblLayout w:type="fixed"/>
        <w:tblCellMar>
          <w:top w:w="0" w:type="dxa"/>
          <w:start w:w="0" w:type="dxa"/>
          <w:bottom w:w="0" w:type="dxa"/>
          <w:end w:w="0" w:type="dxa"/>
        </w:tblCellMar>
      </w:tblPr>
      <w:tblGrid>
        <w:gridCol w:w="3008"/>
        <w:gridCol w:w="3009"/>
        <w:gridCol w:w="3009"/>
      </w:tblGrid>
      <w:tr>
        <w:trPr/>
        <w:tc>
          <w:tcPr>
            <w:tcW w:w="3008" w:type="dxa"/>
            <w:tcBorders/>
          </w:tcPr>
          <w:p>
            <w:pPr>
              <w:pStyle w:val="Contenidodelatabla"/>
              <w:rPr>
                <w:b/>
                <w:bCs/>
              </w:rPr>
            </w:pPr>
            <w:r>
              <w:rPr>
                <w:b/>
                <w:bCs/>
              </w:rPr>
              <w:t>Dominio de riesgo</w:t>
            </w:r>
          </w:p>
        </w:tc>
        <w:tc>
          <w:tcPr>
            <w:tcW w:w="3009" w:type="dxa"/>
            <w:tcBorders/>
          </w:tcPr>
          <w:p>
            <w:pPr>
              <w:pStyle w:val="Contenidodelatabla"/>
              <w:rPr>
                <w:b/>
                <w:bCs/>
              </w:rPr>
            </w:pPr>
            <w:r>
              <w:rPr>
                <w:b/>
                <w:bCs/>
              </w:rPr>
              <w:t>Variables incluidas</w:t>
            </w:r>
          </w:p>
        </w:tc>
        <w:tc>
          <w:tcPr>
            <w:tcW w:w="3009" w:type="dxa"/>
            <w:tcBorders/>
          </w:tcPr>
          <w:p>
            <w:pPr>
              <w:pStyle w:val="Contenidodelatabla"/>
              <w:rPr>
                <w:b/>
                <w:bCs/>
              </w:rPr>
            </w:pPr>
            <w:r>
              <w:rPr>
                <w:b/>
                <w:bCs/>
              </w:rPr>
              <w:t>Evidencia de soporte</w:t>
            </w:r>
          </w:p>
        </w:tc>
      </w:tr>
      <w:tr>
        <w:trPr/>
        <w:tc>
          <w:tcPr>
            <w:tcW w:w="3008" w:type="dxa"/>
            <w:tcBorders/>
          </w:tcPr>
          <w:p>
            <w:pPr>
              <w:pStyle w:val="Contenidodelatabla"/>
              <w:rPr/>
            </w:pPr>
            <w:r>
              <w:rPr/>
              <w:t>Conductual</w:t>
            </w:r>
          </w:p>
        </w:tc>
        <w:tc>
          <w:tcPr>
            <w:tcW w:w="3009" w:type="dxa"/>
            <w:tcBorders/>
          </w:tcPr>
          <w:p>
            <w:pPr>
              <w:pStyle w:val="Contenidodelatabla"/>
              <w:rPr/>
            </w:pPr>
            <w:r>
              <w:rPr/>
              <w:t>Número de parejas sexuales (hombres/mujeres), frecuencia de uso de condón.</w:t>
            </w:r>
          </w:p>
        </w:tc>
        <w:tc>
          <w:tcPr>
            <w:tcW w:w="3009" w:type="dxa"/>
            <w:tcBorders/>
          </w:tcPr>
          <w:p>
            <w:pPr>
              <w:pStyle w:val="Contenidodelatabla"/>
              <w:rPr/>
            </w:pPr>
            <w:r>
              <w:rPr/>
              <w:t>Mayor número de parejas y uso inconsistente de condón se asocian con mayor incidencia de VIH/ITS.</w:t>
            </w:r>
          </w:p>
        </w:tc>
      </w:tr>
      <w:tr>
        <w:trPr/>
        <w:tc>
          <w:tcPr>
            <w:tcW w:w="3008" w:type="dxa"/>
            <w:tcBorders/>
          </w:tcPr>
          <w:p>
            <w:pPr>
              <w:pStyle w:val="Contenidodelatabla"/>
              <w:rPr/>
            </w:pPr>
            <w:r>
              <w:rPr/>
              <w:t>Epidemiológico</w:t>
            </w:r>
          </w:p>
        </w:tc>
        <w:tc>
          <w:tcPr>
            <w:tcW w:w="3009" w:type="dxa"/>
            <w:tcBorders/>
          </w:tcPr>
          <w:p>
            <w:pPr>
              <w:pStyle w:val="Contenidodelatabla"/>
              <w:rPr/>
            </w:pPr>
            <w:r>
              <w:rPr/>
              <w:t>Sexo con personas provenientes de zonas de alta prevalencia, trabajo sexual.</w:t>
            </w:r>
          </w:p>
        </w:tc>
        <w:tc>
          <w:tcPr>
            <w:tcW w:w="3009" w:type="dxa"/>
            <w:tcBorders/>
          </w:tcPr>
          <w:p>
            <w:pPr>
              <w:pStyle w:val="Contenidodelatabla"/>
              <w:rPr/>
            </w:pPr>
            <w:r>
              <w:rPr/>
              <w:t>Las redes sexuales internacionales y el trabajo sexual aumentan la exposición a ITS.</w:t>
            </w:r>
          </w:p>
        </w:tc>
      </w:tr>
      <w:tr>
        <w:trPr/>
        <w:tc>
          <w:tcPr>
            <w:tcW w:w="3008" w:type="dxa"/>
            <w:tcBorders/>
          </w:tcPr>
          <w:p>
            <w:pPr>
              <w:pStyle w:val="Contenidodelatabla"/>
              <w:rPr/>
            </w:pPr>
            <w:r>
              <w:rPr/>
              <w:t>Biológico/clínico</w:t>
            </w:r>
          </w:p>
        </w:tc>
        <w:tc>
          <w:tcPr>
            <w:tcW w:w="3009" w:type="dxa"/>
            <w:tcBorders/>
          </w:tcPr>
          <w:p>
            <w:pPr>
              <w:pStyle w:val="Contenidodelatabla"/>
              <w:rPr/>
            </w:pPr>
            <w:r>
              <w:rPr/>
              <w:t>Diagnóstico previo de ITS, presencia de síntomas, uso de PrEP, inyección de drogas.</w:t>
            </w:r>
          </w:p>
        </w:tc>
        <w:tc>
          <w:tcPr>
            <w:tcW w:w="3009" w:type="dxa"/>
            <w:tcBorders/>
          </w:tcPr>
          <w:p>
            <w:pPr>
              <w:pStyle w:val="Contenidodelatabla"/>
              <w:rPr/>
            </w:pPr>
            <w:r>
              <w:rPr/>
              <w:t>La presencia de una ITS facilita la transmisión del VIH; la PrEP modifica el riesgo.</w:t>
            </w:r>
          </w:p>
        </w:tc>
      </w:tr>
    </w:tbl>
    <w:p>
      <w:pPr>
        <w:pStyle w:val="normal1"/>
        <w:rPr/>
      </w:pPr>
      <w:r>
        <w:rPr/>
      </w:r>
    </w:p>
    <w:p>
      <w:pPr>
        <w:pStyle w:val="normal1"/>
        <w:rPr/>
      </w:pPr>
      <w:r>
        <w:rPr/>
      </w:r>
    </w:p>
    <w:p>
      <w:pPr>
        <w:pStyle w:val="normal1"/>
        <w:rPr/>
      </w:pPr>
      <w:r>
        <w:rPr/>
        <w:t>La adaptación realizada mantiene intactas todas estas variables predictoras, asegurando que el algoritmo predictivo conserve su validez clínica en el contexto de Manizales. La modificación exclusivamente lingüística y cultural no altera el constructo original.</w:t>
      </w:r>
    </w:p>
    <w:p>
      <w:pPr>
        <w:pStyle w:val="normal1"/>
        <w:rPr/>
      </w:pPr>
      <w:r>
        <w:rPr/>
      </w:r>
    </w:p>
    <w:p>
      <w:pPr>
        <w:pStyle w:val="normal1"/>
        <w:rPr>
          <w:b/>
          <w:bCs/>
        </w:rPr>
      </w:pPr>
      <w:r>
        <w:rPr>
          <w:b/>
          <w:bCs/>
        </w:rPr>
        <w:t>6. Planificación de la Prueba Piloto (Fase Metodológica Posterior)</w:t>
      </w:r>
    </w:p>
    <w:p>
      <w:pPr>
        <w:pStyle w:val="normal1"/>
        <w:rPr/>
      </w:pPr>
      <w:r>
        <w:rPr/>
      </w:r>
    </w:p>
    <w:p>
      <w:pPr>
        <w:pStyle w:val="normal1"/>
        <w:rPr/>
      </w:pPr>
      <w:r>
        <w:rPr/>
        <w:t>Si bien la prueba piloto aún no se ha ejecutado, se ha planificado formalmente como una fase obligatoria dentro del proceso de validación del instrumento.</w:t>
      </w:r>
    </w:p>
    <w:p>
      <w:pPr>
        <w:pStyle w:val="normal1"/>
        <w:rPr/>
      </w:pPr>
      <w:r>
        <w:rPr/>
      </w:r>
    </w:p>
    <w:p>
      <w:pPr>
        <w:pStyle w:val="normal1"/>
        <w:rPr>
          <w:i/>
          <w:iCs/>
        </w:rPr>
      </w:pPr>
      <w:r>
        <w:rPr>
          <w:i/>
          <w:iCs/>
        </w:rPr>
        <w:t>6.1. Objetivo de la prueba piloto</w:t>
      </w:r>
    </w:p>
    <w:p>
      <w:pPr>
        <w:pStyle w:val="normal1"/>
        <w:rPr/>
      </w:pPr>
      <w:r>
        <w:rPr/>
      </w:r>
    </w:p>
    <w:p>
      <w:pPr>
        <w:pStyle w:val="normal1"/>
        <w:rPr/>
      </w:pPr>
      <w:r>
        <w:rPr/>
        <w:t>Evaluar el funcionamiento del instrumento adaptado en condiciones controladas, específicamente:</w:t>
      </w:r>
    </w:p>
    <w:p>
      <w:pPr>
        <w:pStyle w:val="normal1"/>
        <w:rPr/>
      </w:pPr>
      <w:r>
        <w:rPr/>
      </w:r>
    </w:p>
    <w:p>
      <w:pPr>
        <w:pStyle w:val="normal1"/>
        <w:rPr/>
      </w:pPr>
      <w:r>
        <w:rPr/>
        <w:t>- Comprensión y claridad de cada pregunta en una muestra más amplia (n = 15–20).</w:t>
      </w:r>
    </w:p>
    <w:p>
      <w:pPr>
        <w:pStyle w:val="normal1"/>
        <w:rPr/>
      </w:pPr>
      <w:r>
        <w:rPr/>
        <w:t>- Pertinencia cultural de las adaptaciones.</w:t>
      </w:r>
    </w:p>
    <w:p>
      <w:pPr>
        <w:pStyle w:val="normal1"/>
        <w:rPr/>
      </w:pPr>
      <w:r>
        <w:rPr/>
        <w:t>- Tiempo promedio de respuesta.</w:t>
      </w:r>
    </w:p>
    <w:p>
      <w:pPr>
        <w:pStyle w:val="normal1"/>
        <w:rPr/>
      </w:pPr>
      <w:r>
        <w:rPr/>
        <w:t>- Identificación de preguntas con alta tasa de omisión o confusión.</w:t>
      </w:r>
    </w:p>
    <w:p>
      <w:pPr>
        <w:pStyle w:val="normal1"/>
        <w:rPr/>
      </w:pPr>
      <w:r>
        <w:rPr/>
        <w:t>- Usabilidad general y aceptabilidad del formato (digital o papel).</w:t>
      </w:r>
    </w:p>
    <w:p>
      <w:pPr>
        <w:pStyle w:val="normal1"/>
        <w:rPr>
          <w:b w:val="false"/>
          <w:bCs w:val="false"/>
          <w:i/>
          <w:iCs/>
        </w:rPr>
      </w:pPr>
      <w:r>
        <w:rPr>
          <w:b w:val="false"/>
          <w:bCs w:val="false"/>
          <w:i/>
          <w:iCs/>
        </w:rPr>
      </w:r>
    </w:p>
    <w:p>
      <w:pPr>
        <w:pStyle w:val="normal1"/>
        <w:rPr>
          <w:b w:val="false"/>
          <w:bCs w:val="false"/>
          <w:i/>
          <w:iCs/>
        </w:rPr>
      </w:pPr>
      <w:r>
        <w:rPr>
          <w:b w:val="false"/>
          <w:bCs w:val="false"/>
          <w:i/>
          <w:iCs/>
        </w:rPr>
        <w:t>6.2. Metodología prevista</w:t>
      </w:r>
    </w:p>
    <w:p>
      <w:pPr>
        <w:pStyle w:val="normal1"/>
        <w:rPr/>
      </w:pPr>
      <w:r>
        <w:rPr/>
      </w:r>
    </w:p>
    <w:p>
      <w:pPr>
        <w:pStyle w:val="normal1"/>
        <w:rPr/>
      </w:pPr>
      <w:r>
        <w:rPr/>
        <w:t>- Participantes: 15 a 20 estudiantes de pregrado del área de la salud (Biomédica, Instrumentación Quirúrgica) en Manizales.</w:t>
      </w:r>
    </w:p>
    <w:p>
      <w:pPr>
        <w:pStyle w:val="normal1"/>
        <w:rPr/>
      </w:pPr>
      <w:r>
        <w:rPr/>
        <w:t>- Procedimiento: Los participantes responderán el cuestionario en formato digital (simulando la futura aplicación) o en papel. Posteriormente, se aplicará un breve cuestionario de satisfacción y una entrevista semiestructurada para recoger sugerencias.</w:t>
      </w:r>
    </w:p>
    <w:p>
      <w:pPr>
        <w:pStyle w:val="normal1"/>
        <w:rPr/>
      </w:pPr>
      <w:r>
        <w:rPr/>
        <w:t>- Variables a medir:</w:t>
      </w:r>
    </w:p>
    <w:p>
      <w:pPr>
        <w:pStyle w:val="normal1"/>
        <w:rPr/>
      </w:pPr>
      <w:r>
        <w:rPr/>
        <w:t xml:space="preserve">  </w:t>
      </w:r>
      <w:r>
        <w:rPr/>
        <w:t>- Tiempo total de respuesta (en minutos).</w:t>
      </w:r>
    </w:p>
    <w:p>
      <w:pPr>
        <w:pStyle w:val="normal1"/>
        <w:rPr/>
      </w:pPr>
      <w:r>
        <w:rPr/>
        <w:t xml:space="preserve">  </w:t>
      </w:r>
      <w:r>
        <w:rPr/>
        <w:t>- Número de preguntas con dificultad reportada.</w:t>
      </w:r>
    </w:p>
    <w:p>
      <w:pPr>
        <w:pStyle w:val="normal1"/>
        <w:rPr/>
      </w:pPr>
      <w:r>
        <w:rPr/>
        <w:t xml:space="preserve">  </w:t>
      </w:r>
      <w:r>
        <w:rPr/>
        <w:t>- Sugerencias cualitativas sobre redacción, opciones de respuesta o términos confusos.</w:t>
      </w:r>
    </w:p>
    <w:p>
      <w:pPr>
        <w:pStyle w:val="normal1"/>
        <w:rPr/>
      </w:pPr>
      <w:r>
        <w:rPr/>
        <w:t>- Análisis: Se realizará un análisis descriptivo (medias, frecuencias) y un análisis cualitativo de las sugerencias.</w:t>
      </w:r>
    </w:p>
    <w:p>
      <w:pPr>
        <w:pStyle w:val="normal1"/>
        <w:rPr/>
      </w:pPr>
      <w:r>
        <w:rPr/>
      </w:r>
    </w:p>
    <w:p>
      <w:pPr>
        <w:pStyle w:val="normal1"/>
        <w:rPr/>
      </w:pPr>
      <w:r>
        <w:rPr/>
      </w:r>
    </w:p>
    <w:p>
      <w:pPr>
        <w:pStyle w:val="normal1"/>
        <w:rPr/>
      </w:pPr>
      <w:r>
        <w:rPr/>
        <w:t>6.</w:t>
      </w:r>
      <w:r>
        <w:rPr/>
        <w:t>3</w:t>
      </w:r>
      <w:r>
        <w:rPr/>
        <w:t>. Importancia de la prueba piloto antes de la implementación digital</w:t>
      </w:r>
    </w:p>
    <w:p>
      <w:pPr>
        <w:pStyle w:val="normal1"/>
        <w:rPr/>
      </w:pPr>
      <w:r>
        <w:rPr/>
      </w:r>
    </w:p>
    <w:p>
      <w:pPr>
        <w:pStyle w:val="normal1"/>
        <w:rPr/>
      </w:pPr>
      <w:r>
        <w:rPr/>
        <w:t>La prueba piloto permitirá identificar problemas de comprensión, sesgos o dificultades técnicas que, de no corregirse, afectarían la calidad de los datos recolectados y la validez de las inferencias del algoritmo. Constituye un paso crítico previo al desarrollo del aplicativo móvil.</w:t>
      </w:r>
    </w:p>
    <w:p>
      <w:pPr>
        <w:pStyle w:val="normal1"/>
        <w:rPr/>
      </w:pPr>
      <w:r>
        <w:rPr/>
      </w:r>
    </w:p>
    <w:p>
      <w:pPr>
        <w:pStyle w:val="normal1"/>
        <w:rPr/>
      </w:pPr>
      <w:r>
        <w:rPr/>
        <w:t>7. Conclusiones</w:t>
      </w:r>
    </w:p>
    <w:p>
      <w:pPr>
        <w:pStyle w:val="normal1"/>
        <w:rPr/>
      </w:pPr>
      <w:r>
        <w:rPr/>
      </w:r>
    </w:p>
    <w:p>
      <w:pPr>
        <w:pStyle w:val="normal1"/>
        <w:rPr/>
      </w:pPr>
      <w:r>
        <w:rPr/>
        <w:t>En cumplimiento del objetivo específico relacionado con la construcción y validación del instrumento de evaluación de riesgo de VIH, se ha logrado:</w:t>
      </w:r>
    </w:p>
    <w:p>
      <w:pPr>
        <w:pStyle w:val="normal1"/>
        <w:rPr/>
      </w:pPr>
      <w:r>
        <w:rPr/>
      </w:r>
    </w:p>
    <w:p>
      <w:pPr>
        <w:pStyle w:val="normal1"/>
        <w:rPr/>
      </w:pPr>
      <w:r>
        <w:rPr/>
        <w:t>1. Adaptar el instrumento MySTIRisk al contexto de Manizales, Colombia, mediante un proceso sistemático de análisis estructural y adaptación semántica, documentando cada cambio con su justificación.</w:t>
      </w:r>
    </w:p>
    <w:p>
      <w:pPr>
        <w:pStyle w:val="normal1"/>
        <w:rPr/>
      </w:pPr>
      <w:r>
        <w:rPr/>
      </w:r>
    </w:p>
    <w:p>
      <w:pPr>
        <w:pStyle w:val="normal1"/>
        <w:rPr/>
      </w:pPr>
      <w:r>
        <w:rPr/>
        <w:t>2. Validar el contenido mediante revisión de expertos, evaluando claridad (89% favorable inicial, 100% tras ajustes), pertinencia cultural (100%) y coherencia clínica (100%). Se realizaron tres ajustes concretos derivados de esta revisión.</w:t>
      </w:r>
    </w:p>
    <w:p>
      <w:pPr>
        <w:pStyle w:val="normal1"/>
        <w:rPr/>
      </w:pPr>
      <w:r>
        <w:rPr/>
      </w:r>
    </w:p>
    <w:p>
      <w:pPr>
        <w:pStyle w:val="normal1"/>
        <w:rPr/>
      </w:pPr>
      <w:r>
        <w:rPr/>
        <w:t>3. Verificar la claridad del instrumento con usuarios de la población objetivo mediante la técnica de parafraseo, alcanzando un 100% de interpretación correcta tras las reformulaciones necesarias.</w:t>
      </w:r>
    </w:p>
    <w:p>
      <w:pPr>
        <w:pStyle w:val="normal1"/>
        <w:rPr/>
      </w:pPr>
      <w:r>
        <w:rPr/>
      </w:r>
    </w:p>
    <w:p>
      <w:pPr>
        <w:pStyle w:val="normal1"/>
        <w:rPr/>
      </w:pPr>
      <w:r>
        <w:rPr/>
        <w:t>4. Planificar formalmente la prueba piloto como fase metodológica posterior, con objetivos claros, metodología definida y cronograma establecido, la cual se ejecutará antes de la implementación digital del aplicativo.</w:t>
      </w:r>
    </w:p>
    <w:p>
      <w:pPr>
        <w:pStyle w:val="normal1"/>
        <w:rPr/>
      </w:pPr>
      <w:r>
        <w:rPr/>
      </w:r>
    </w:p>
    <w:p>
      <w:pPr>
        <w:pStyle w:val="normal1"/>
        <w:rPr/>
      </w:pPr>
      <w:r>
        <w:rPr/>
        <w:t>El instrumento resultante es, hasta esta fase del proceso, **claro, pertinente culturalmente y clínicamente coherente** con el algoritmo original. La prueba piloto permitirá realizar los últimos refinamientos antes de su desarrollo tecnológico.</w:t>
      </w:r>
    </w:p>
    <w:p>
      <w:pPr>
        <w:pStyle w:val="normal1"/>
        <w:rPr/>
      </w:pPr>
      <w:r>
        <w:rPr/>
      </w:r>
    </w:p>
    <w:p>
      <w:pPr>
        <w:pStyle w:val="normal1"/>
        <w:rPr>
          <w:b/>
          <w:bCs/>
        </w:rPr>
      </w:pPr>
      <w:r>
        <w:rPr>
          <w:b/>
          <w:bCs/>
        </w:rPr>
        <w:t>8. Próximos Pasos</w:t>
      </w:r>
    </w:p>
    <w:p>
      <w:pPr>
        <w:pStyle w:val="normal1"/>
        <w:rPr/>
      </w:pPr>
      <w:r>
        <w:rPr/>
      </w:r>
    </w:p>
    <w:p>
      <w:pPr>
        <w:pStyle w:val="normal1"/>
        <w:rPr/>
      </w:pPr>
      <w:r>
        <w:rPr/>
        <w:t>- Ejecutar la prueba piloto con estudiantes (semana del 20 al 27 de abril de 2026).</w:t>
      </w:r>
    </w:p>
    <w:p>
      <w:pPr>
        <w:pStyle w:val="normal1"/>
        <w:rPr/>
      </w:pPr>
      <w:r>
        <w:rPr/>
        <w:t>- Analizar los resultados y realizar los ajustes finales al instrumento.</w:t>
      </w:r>
    </w:p>
    <w:p>
      <w:pPr>
        <w:pStyle w:val="normal1"/>
        <w:rPr/>
      </w:pPr>
      <w:r>
        <w:rPr/>
        <w:t>- Documentar los resultados de la prueba piloto en el Informe de Avance No. 5.</w:t>
      </w:r>
    </w:p>
    <w:p>
      <w:pPr>
        <w:pStyle w:val="normal1"/>
        <w:rPr/>
      </w:pPr>
      <w:r>
        <w:rPr/>
        <w:t>- Proceder al diseño de la interfaz de usuario del módulo de evaluación de riesgo en el aplicativo móvil.</w:t>
      </w:r>
    </w:p>
    <w:p>
      <w:pPr>
        <w:pStyle w:val="normal1"/>
        <w:rPr/>
      </w:pPr>
      <w:r>
        <w:rPr/>
      </w:r>
    </w:p>
    <w:p>
      <w:pPr>
        <w:pStyle w:val="normal1"/>
        <w:rPr>
          <w:b/>
          <w:bCs/>
        </w:rPr>
      </w:pPr>
      <w:r>
        <w:rPr>
          <w:b/>
          <w:bCs/>
        </w:rPr>
        <w:t>9. Referencias Bibliográficas</w:t>
      </w:r>
    </w:p>
    <w:p>
      <w:pPr>
        <w:pStyle w:val="normal1"/>
        <w:rPr/>
      </w:pPr>
      <w:r>
        <w:rPr/>
      </w:r>
    </w:p>
    <w:p>
      <w:pPr>
        <w:pStyle w:val="normal1"/>
        <w:rPr/>
      </w:pPr>
      <w:r>
        <w:rPr/>
        <w:t>- Melbourne Sexual Health Centre (MSHC). (2025). *MySTIRisk: AI-Powered HIV/STI Risk Assessment Tool*. Recuperado de https://mystirisk.mshc.org.au/</w:t>
      </w:r>
    </w:p>
    <w:p>
      <w:pPr>
        <w:pStyle w:val="normal1"/>
        <w:rPr/>
      </w:pPr>
      <w:r>
        <w:rPr/>
        <w:t>- Xu, X., Chow, E. P. F., Ong, J. J., et al. (2025). External validation of a web- and artificial intelligence-based HIV/STI risk assessment tool: performance evaluation using data from Sydney sexual health centre. *BMC Infectious Diseases*, *25*, 1647.</w:t>
      </w:r>
    </w:p>
    <w:p>
      <w:pPr>
        <w:pStyle w:val="normal1"/>
        <w:rPr/>
      </w:pPr>
      <w:r>
        <w:rPr/>
        <w:t>- Chow, E. P. F., Xu, X., Kong, F. Y. S., et al. (2025). Anxiety responses and testing intentions among gay and bisexual men using an AI-powered HIV/STI risk assessment tool: a quasi-experimental study. *BMC Public Health*, *25*, 4028.</w:t>
      </w:r>
    </w:p>
    <w:p>
      <w:pPr>
        <w:pStyle w:val="normal1"/>
        <w:rPr/>
      </w:pPr>
      <w:r>
        <w:rPr/>
        <w:t>- Oo, M. M., Shukalek, C., Kishibe, T., et al. (2025). Diagnostic performance of HIV risk assessment tools for identifying pre-exposure prophylaxis candidates: a systematic review and meta-analysis. *eClinicalMedicine*, *88*, 103487.</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2"/>
    <w:family w:val="auto"/>
    <w:pitch w:val="default"/>
    <w:embedRegular r:id="rId13" w:fontKey="{0D014A78-CABC-4EF0-12AC-5CD89AEFDE0D}"/>
  </w:font>
  <w:font w:name="Liberation Sans">
    <w:altName w:val="Arial"/>
    <w:charset w:val="01" w:characterSet="utf-8"/>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Smbolosdenumeracin">
    <w:name w:val="Símbolos de numeración"/>
    <w:qFormat/>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ontenidodelatabla">
    <w:name w:val="Contenido de la tabla"/>
    <w:basedOn w:val="Normal"/>
    <w:qFormat/>
    <w:pPr>
      <w:widowControl w:val="false"/>
      <w:suppressLineNumbers/>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930</TotalTime>
  <Application>LibreOffice/25.8.6.2$Linux_X86_64 LibreOffice_project/a46b460d1686bb49c718d2ef5f88b83ff2dc4981</Application>
  <AppVersion>15.0000</AppVersion>
  <Pages>7</Pages>
  <Words>1911</Words>
  <Characters>11533</Characters>
  <CharactersWithSpaces>13313</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2026-04-17T18:20:06Z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