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1370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dashed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D63C58" w14:paraId="49E78D1D" w14:textId="77777777">
        <w:tc>
          <w:tcPr>
            <w:tcW w:w="3387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6089F9" w14:textId="77777777" w:rsidR="00D63C58" w:rsidRDefault="004157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395BE7" wp14:editId="3B877141">
                  <wp:extent cx="1905000" cy="1710044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1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A10F0" w14:textId="77777777" w:rsidR="00D63C58" w:rsidRDefault="00D63C58">
            <w:pPr>
              <w:jc w:val="center"/>
            </w:pPr>
          </w:p>
          <w:p w14:paraId="2B88AE37" w14:textId="77777777" w:rsidR="00D63C58" w:rsidRDefault="004157B2">
            <w:pPr>
              <w:pStyle w:val="Ttulo1"/>
            </w:pPr>
            <w:r>
              <w:rPr>
                <w:b/>
                <w:bCs/>
                <w:color w:val="225091"/>
              </w:rPr>
              <w:t>Solo Iron</w:t>
            </w:r>
          </w:p>
          <w:p w14:paraId="35904474" w14:textId="77777777" w:rsidR="00D63C58" w:rsidRDefault="004157B2">
            <w:r>
              <w:rPr>
                <w:color w:val="225091"/>
              </w:rPr>
              <w:t xml:space="preserve">Rod. Dep. João Leopoldo </w:t>
            </w:r>
            <w:proofErr w:type="spellStart"/>
            <w:r>
              <w:rPr>
                <w:color w:val="225091"/>
              </w:rPr>
              <w:t>Jacomel</w:t>
            </w:r>
            <w:proofErr w:type="spellEnd"/>
            <w:r>
              <w:rPr>
                <w:color w:val="225091"/>
              </w:rPr>
              <w:t>, 12162</w:t>
            </w:r>
          </w:p>
          <w:p w14:paraId="7A9EF320" w14:textId="77777777" w:rsidR="00D63C58" w:rsidRDefault="004157B2">
            <w:r>
              <w:rPr>
                <w:color w:val="225091"/>
              </w:rPr>
              <w:t>Centro, Pinhais</w:t>
            </w:r>
          </w:p>
        </w:tc>
        <w:tc>
          <w:tcPr>
            <w:tcW w:w="5851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E1FC6D" w14:textId="77777777" w:rsidR="00D63C58" w:rsidRDefault="004157B2">
            <w:pPr>
              <w:pStyle w:val="Ttulo1"/>
              <w:jc w:val="center"/>
            </w:pPr>
            <w:r>
              <w:rPr>
                <w:color w:val="225091"/>
              </w:rPr>
              <w:t>SOW-Declaração de Serviço</w:t>
            </w:r>
          </w:p>
          <w:p w14:paraId="7E9DA75A" w14:textId="77777777" w:rsidR="00D63C58" w:rsidRDefault="00D63C58">
            <w:pPr>
              <w:jc w:val="center"/>
            </w:pPr>
          </w:p>
          <w:p w14:paraId="012A2C06" w14:textId="0366CB10" w:rsidR="00D63C58" w:rsidRDefault="00CA28F2">
            <w:pPr>
              <w:jc w:val="center"/>
            </w:pPr>
            <w:r w:rsidRPr="00CA28F2">
              <w:rPr>
                <w:color w:val="225091"/>
              </w:rPr>
              <w:t xml:space="preserve">Implementação de Baseline de Solução de </w:t>
            </w:r>
            <w:proofErr w:type="spellStart"/>
            <w:r w:rsidRPr="00CA28F2">
              <w:rPr>
                <w:color w:val="225091"/>
              </w:rPr>
              <w:t>Endpoint</w:t>
            </w:r>
            <w:proofErr w:type="spellEnd"/>
            <w:r w:rsidRPr="00CA28F2">
              <w:rPr>
                <w:color w:val="225091"/>
              </w:rPr>
              <w:t xml:space="preserve"> - EDR</w:t>
            </w:r>
          </w:p>
        </w:tc>
      </w:tr>
    </w:tbl>
    <w:p w14:paraId="531D6E72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B22F9B6" w14:textId="2B2110C4" w:rsidR="00D63C58" w:rsidRDefault="004157B2">
      <w:pPr>
        <w:pStyle w:val="Ttulo1"/>
      </w:pPr>
      <w:r>
        <w:rPr>
          <w:color w:val="225091"/>
        </w:rPr>
        <w:t>Objetivo</w:t>
      </w:r>
    </w:p>
    <w:p w14:paraId="02229E6B" w14:textId="004C45A4" w:rsidR="00181D5D" w:rsidRPr="0094729B" w:rsidRDefault="004157B2" w:rsidP="00181D5D">
      <w:pPr>
        <w:spacing w:before="120" w:after="120" w:line="264" w:lineRule="auto"/>
        <w:jc w:val="both"/>
        <w:rPr>
          <w:rFonts w:cs="Segoe UI Light"/>
        </w:rPr>
      </w:pPr>
      <w:r>
        <w:t xml:space="preserve">Este documento </w:t>
      </w:r>
      <w:r w:rsidR="00181D5D" w:rsidRPr="0094729B">
        <w:rPr>
          <w:rFonts w:cs="Segoe UI Light"/>
        </w:rPr>
        <w:t>define os termos e condições que regem a prestação do</w:t>
      </w:r>
      <w:r w:rsidR="00181D5D" w:rsidRPr="0094729B">
        <w:rPr>
          <w:rFonts w:cs="Segoe UI Light"/>
          <w:b/>
          <w:bCs/>
        </w:rPr>
        <w:t xml:space="preserve"> serviço de implementação de baseline de proteção de </w:t>
      </w:r>
      <w:proofErr w:type="spellStart"/>
      <w:r w:rsidR="00181D5D" w:rsidRPr="0094729B">
        <w:rPr>
          <w:rFonts w:cs="Segoe UI Light"/>
          <w:b/>
          <w:bCs/>
        </w:rPr>
        <w:t>endpoint</w:t>
      </w:r>
      <w:proofErr w:type="spellEnd"/>
      <w:r w:rsidR="00181D5D" w:rsidRPr="0094729B">
        <w:rPr>
          <w:rFonts w:cs="Segoe UI Light"/>
        </w:rPr>
        <w:t>,</w:t>
      </w:r>
      <w:r w:rsidR="00181D5D" w:rsidRPr="0094729B">
        <w:rPr>
          <w:rFonts w:cs="Segoe UI Light"/>
          <w:b/>
          <w:bCs/>
        </w:rPr>
        <w:t xml:space="preserve"> </w:t>
      </w:r>
      <w:r w:rsidR="00181D5D" w:rsidRPr="0094729B">
        <w:rPr>
          <w:rFonts w:cs="Segoe UI Light"/>
        </w:rPr>
        <w:t>doravante referido como “</w:t>
      </w:r>
      <w:r w:rsidR="00181D5D" w:rsidRPr="0094729B">
        <w:rPr>
          <w:rFonts w:cs="Segoe UI Light"/>
          <w:b/>
          <w:bCs/>
        </w:rPr>
        <w:t xml:space="preserve">Implementação de Baseline de Solução de </w:t>
      </w:r>
      <w:proofErr w:type="spellStart"/>
      <w:r w:rsidR="00181D5D" w:rsidRPr="0094729B">
        <w:rPr>
          <w:rFonts w:cs="Segoe UI Light"/>
          <w:b/>
          <w:bCs/>
        </w:rPr>
        <w:t>Endpoint</w:t>
      </w:r>
      <w:proofErr w:type="spellEnd"/>
      <w:r w:rsidR="00181D5D" w:rsidRPr="0094729B">
        <w:rPr>
          <w:rFonts w:cs="Segoe UI Light"/>
          <w:b/>
          <w:bCs/>
        </w:rPr>
        <w:t xml:space="preserve"> - EDR”.</w:t>
      </w:r>
    </w:p>
    <w:p w14:paraId="6111760F" w14:textId="05242E7D" w:rsidR="00D63C58" w:rsidRDefault="00D63C58" w:rsidP="00181D5D">
      <w:pPr>
        <w:jc w:val="both"/>
      </w:pPr>
    </w:p>
    <w:p w14:paraId="75EB0539" w14:textId="4A1220BB" w:rsidR="00D63C58" w:rsidRDefault="004157B2">
      <w:pPr>
        <w:pStyle w:val="Ttulo1"/>
        <w:rPr>
          <w:color w:val="225091"/>
        </w:rPr>
      </w:pPr>
      <w:r>
        <w:rPr>
          <w:color w:val="225091"/>
        </w:rPr>
        <w:t>D</w:t>
      </w:r>
      <w:r>
        <w:rPr>
          <w:color w:val="225091"/>
        </w:rPr>
        <w:t>efiniç</w:t>
      </w:r>
      <w:r w:rsidR="00181D5D">
        <w:rPr>
          <w:color w:val="225091"/>
        </w:rPr>
        <w:t>ões</w:t>
      </w:r>
    </w:p>
    <w:p w14:paraId="3224B258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proofErr w:type="spellStart"/>
      <w:r w:rsidRPr="00181D5D">
        <w:rPr>
          <w:rFonts w:cs="Segoe UI Light"/>
          <w:b/>
          <w:bCs/>
        </w:rPr>
        <w:t>Endpoint</w:t>
      </w:r>
      <w:proofErr w:type="spellEnd"/>
      <w:r w:rsidRPr="00181D5D">
        <w:rPr>
          <w:rFonts w:cs="Segoe UI Light"/>
        </w:rPr>
        <w:t>: Um dispositivo ou componente conectado à rede do cliente;</w:t>
      </w:r>
    </w:p>
    <w:p w14:paraId="44DAA50C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r w:rsidRPr="00181D5D">
        <w:rPr>
          <w:rFonts w:cs="Segoe UI Light"/>
          <w:b/>
          <w:bCs/>
        </w:rPr>
        <w:t>Suporte:</w:t>
      </w:r>
      <w:r w:rsidRPr="00181D5D">
        <w:rPr>
          <w:rFonts w:cs="Segoe UI Light"/>
        </w:rPr>
        <w:t xml:space="preserve"> Consiste na busca de orientação junto a um especialista para a realização otimizada de tarefas gerais, envolvendo passos a passo, melhores práticas, assistência ou opinião. O especialista acionado não é encarregado de realizar as atividades, sendo essa responsabilidade atribuída à equipe interna do cliente;</w:t>
      </w:r>
    </w:p>
    <w:p w14:paraId="12FA975A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r w:rsidRPr="00181D5D">
        <w:rPr>
          <w:rFonts w:cs="Segoe UI Light"/>
          <w:b/>
          <w:bCs/>
        </w:rPr>
        <w:t>Serviço Gerenciado:</w:t>
      </w:r>
      <w:r w:rsidRPr="00181D5D">
        <w:rPr>
          <w:rFonts w:cs="Segoe UI Light"/>
        </w:rPr>
        <w:t xml:space="preserve"> Refere-se à prática de transferir responsabilidades operacionais para um especialista externo, visando a redução de custos, aprimoramento da qualidade do serviço e a liberação das equipes internas para se concentrarem em tarefas específicas da empresa. O especialista designado assume a execução de atividades tanto proativas quanto reativas, conforme solicitado;</w:t>
      </w:r>
    </w:p>
    <w:p w14:paraId="328D10F1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r w:rsidRPr="00181D5D">
        <w:rPr>
          <w:rFonts w:cs="Segoe UI Light"/>
          <w:b/>
          <w:bCs/>
        </w:rPr>
        <w:t>Requisição de Serviço:</w:t>
      </w:r>
      <w:r w:rsidRPr="00181D5D">
        <w:rPr>
          <w:rFonts w:cs="Segoe UI Light"/>
        </w:rPr>
        <w:t xml:space="preserve"> Compreende toda solicitação relacionada à administração da solução abrangida pelo escopo do serviço. Isso inclui configurações, regras, customizações, políticas, e demais atividades próprias de um </w:t>
      </w:r>
      <w:proofErr w:type="spellStart"/>
      <w:r w:rsidRPr="00181D5D">
        <w:rPr>
          <w:rFonts w:cs="Segoe UI Light"/>
        </w:rPr>
        <w:t>SysAdmin</w:t>
      </w:r>
      <w:proofErr w:type="spellEnd"/>
      <w:r w:rsidRPr="00181D5D">
        <w:rPr>
          <w:rFonts w:cs="Segoe UI Light"/>
        </w:rPr>
        <w:t>;</w:t>
      </w:r>
    </w:p>
    <w:p w14:paraId="68CFBEB2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r w:rsidRPr="00181D5D">
        <w:rPr>
          <w:rFonts w:cs="Segoe UI Light"/>
          <w:b/>
          <w:bCs/>
        </w:rPr>
        <w:t>Contact Center:</w:t>
      </w:r>
      <w:r w:rsidRPr="00181D5D">
        <w:rPr>
          <w:rFonts w:cs="Segoe UI Light"/>
        </w:rPr>
        <w:t xml:space="preserve"> Trata-se de uma infraestrutura centralizada destinada a lidar com interações de clientes através de diversos canais, como telefone, e-mail, chat, redes sociais, entre outros. Oferece uma abordagem unificada para as interações com clientes, independente do canal escolhido;</w:t>
      </w:r>
    </w:p>
    <w:p w14:paraId="04D3A801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r w:rsidRPr="00181D5D">
        <w:rPr>
          <w:rFonts w:cs="Segoe UI Light"/>
          <w:b/>
          <w:bCs/>
        </w:rPr>
        <w:t>Tempo de resposta</w:t>
      </w:r>
      <w:r w:rsidRPr="00181D5D">
        <w:rPr>
          <w:rFonts w:cs="Segoe UI Light"/>
        </w:rPr>
        <w:t>: O prazo máximo para a resposta da requisição;</w:t>
      </w:r>
    </w:p>
    <w:p w14:paraId="46E0F313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r w:rsidRPr="00181D5D">
        <w:rPr>
          <w:rFonts w:cs="Segoe UI Light"/>
          <w:b/>
          <w:bCs/>
        </w:rPr>
        <w:t>Frequência do serviço Pontual</w:t>
      </w:r>
      <w:r w:rsidRPr="00181D5D">
        <w:rPr>
          <w:rFonts w:cs="Segoe UI Light"/>
        </w:rPr>
        <w:t>: Um serviço pontual é realizado em um momento específico, com datas precisas para início e término;</w:t>
      </w:r>
    </w:p>
    <w:p w14:paraId="3ED9E908" w14:textId="7C1F03E5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r w:rsidRPr="00181D5D">
        <w:rPr>
          <w:rFonts w:cs="Segoe UI Light"/>
          <w:b/>
          <w:bCs/>
        </w:rPr>
        <w:t>Frequência do serviço Recorrente</w:t>
      </w:r>
      <w:r w:rsidRPr="00181D5D">
        <w:rPr>
          <w:rFonts w:cs="Segoe UI Light"/>
        </w:rPr>
        <w:t>: um serviço recorrente significa que ele ocorre em intervalos regulares e é repetido ao longo do tempo.</w:t>
      </w:r>
    </w:p>
    <w:p w14:paraId="48CDBC89" w14:textId="149AAAC7" w:rsidR="00181D5D" w:rsidRPr="00181D5D" w:rsidRDefault="00181D5D" w:rsidP="00181D5D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0" w:name="_Toc177718111"/>
      <w:r w:rsidRPr="00181D5D">
        <w:rPr>
          <w:rFonts w:cs="Segoe UI Light"/>
          <w:color w:val="156082" w:themeColor="accent1"/>
        </w:rPr>
        <w:t>Classificação da Frequência do Serviço</w:t>
      </w:r>
      <w:bookmarkEnd w:id="0"/>
    </w:p>
    <w:p w14:paraId="17C6AB70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r w:rsidRPr="00181D5D">
        <w:rPr>
          <w:rFonts w:cs="Segoe UI Light"/>
        </w:rPr>
        <w:t>Classificação: Pontual.</w:t>
      </w:r>
    </w:p>
    <w:p w14:paraId="685996D4" w14:textId="77777777" w:rsidR="00181D5D" w:rsidRDefault="00181D5D" w:rsidP="00181D5D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1" w:name="_Toc153819536"/>
      <w:bookmarkStart w:id="2" w:name="_Toc153823879"/>
      <w:bookmarkStart w:id="3" w:name="_Toc177718112"/>
    </w:p>
    <w:p w14:paraId="3BABAF18" w14:textId="70D2F6F9" w:rsidR="00181D5D" w:rsidRPr="00181D5D" w:rsidRDefault="00181D5D" w:rsidP="00181D5D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r w:rsidRPr="00181D5D">
        <w:rPr>
          <w:rFonts w:cs="Segoe UI Light"/>
          <w:color w:val="156082" w:themeColor="accent1"/>
        </w:rPr>
        <w:lastRenderedPageBreak/>
        <w:t>Fabricantes e/ou Licenças Suportados</w:t>
      </w:r>
      <w:bookmarkEnd w:id="1"/>
      <w:bookmarkEnd w:id="2"/>
      <w:r w:rsidRPr="00181D5D">
        <w:rPr>
          <w:rFonts w:cs="Segoe UI Light"/>
          <w:color w:val="156082" w:themeColor="accent1"/>
        </w:rPr>
        <w:t xml:space="preserve"> para Realização do Serviço</w:t>
      </w:r>
      <w:bookmarkEnd w:id="3"/>
    </w:p>
    <w:p w14:paraId="44690987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r w:rsidRPr="00181D5D">
        <w:rPr>
          <w:rFonts w:cs="Segoe UI Light"/>
        </w:rPr>
        <w:t xml:space="preserve">A seguir, destacamos os fabricantes/licenças compatíveis disponíveis para contratação da </w:t>
      </w:r>
      <w:r w:rsidRPr="00181D5D">
        <w:rPr>
          <w:rFonts w:cs="Segoe UI Light"/>
          <w:b/>
          <w:bCs/>
        </w:rPr>
        <w:t xml:space="preserve">Implementação de Baseline de Solução de </w:t>
      </w:r>
      <w:proofErr w:type="spellStart"/>
      <w:r w:rsidRPr="00181D5D">
        <w:rPr>
          <w:rFonts w:cs="Segoe UI Light"/>
          <w:b/>
          <w:bCs/>
        </w:rPr>
        <w:t>Endpoint</w:t>
      </w:r>
      <w:proofErr w:type="spellEnd"/>
      <w:r w:rsidRPr="00181D5D">
        <w:rPr>
          <w:rFonts w:cs="Segoe UI Light"/>
          <w:b/>
          <w:bCs/>
        </w:rPr>
        <w:t xml:space="preserve"> - EDR</w:t>
      </w:r>
      <w:r w:rsidRPr="00181D5D">
        <w:rPr>
          <w:rFonts w:cs="Segoe UI Light"/>
        </w:rPr>
        <w:t>:</w:t>
      </w:r>
    </w:p>
    <w:p w14:paraId="0C9F69C5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  <w:lang w:val="en-US"/>
        </w:rPr>
      </w:pPr>
      <w:r w:rsidRPr="00181D5D">
        <w:rPr>
          <w:rFonts w:cs="Segoe UI Light"/>
          <w:lang w:val="en-US"/>
        </w:rPr>
        <w:t xml:space="preserve">Kaspersky Next EDR </w:t>
      </w:r>
      <w:r w:rsidRPr="00181D5D">
        <w:rPr>
          <w:rFonts w:cs="Segoe UI Light"/>
        </w:rPr>
        <w:t>(</w:t>
      </w:r>
      <w:proofErr w:type="spellStart"/>
      <w:r w:rsidRPr="00181D5D">
        <w:rPr>
          <w:rFonts w:cs="Segoe UI Light"/>
        </w:rPr>
        <w:t>Foundations</w:t>
      </w:r>
      <w:proofErr w:type="spellEnd"/>
      <w:r w:rsidRPr="00181D5D">
        <w:rPr>
          <w:rFonts w:cs="Segoe UI Light"/>
        </w:rPr>
        <w:t xml:space="preserve"> não contempla EDR e sim Root Cause </w:t>
      </w:r>
      <w:proofErr w:type="spellStart"/>
      <w:proofErr w:type="gramStart"/>
      <w:r w:rsidRPr="00181D5D">
        <w:rPr>
          <w:rFonts w:cs="Segoe UI Light"/>
        </w:rPr>
        <w:t>Analisys</w:t>
      </w:r>
      <w:proofErr w:type="spellEnd"/>
      <w:r w:rsidRPr="00181D5D">
        <w:rPr>
          <w:rFonts w:cs="Segoe UI Light"/>
        </w:rPr>
        <w:t xml:space="preserve">) </w:t>
      </w:r>
      <w:r w:rsidRPr="00181D5D">
        <w:rPr>
          <w:rFonts w:cs="Segoe UI Light"/>
          <w:lang w:val="en-US"/>
        </w:rPr>
        <w:t xml:space="preserve"> /</w:t>
      </w:r>
      <w:proofErr w:type="gramEnd"/>
      <w:r w:rsidRPr="00181D5D">
        <w:rPr>
          <w:rFonts w:cs="Segoe UI Light"/>
          <w:lang w:val="en-US"/>
        </w:rPr>
        <w:t xml:space="preserve"> </w:t>
      </w:r>
      <w:proofErr w:type="gramStart"/>
      <w:r w:rsidRPr="00181D5D">
        <w:rPr>
          <w:rFonts w:cs="Segoe UI Light"/>
          <w:lang w:val="en-US"/>
        </w:rPr>
        <w:t>MDR;</w:t>
      </w:r>
      <w:proofErr w:type="gramEnd"/>
    </w:p>
    <w:p w14:paraId="5AA9695B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  <w:lang w:val="en-US"/>
        </w:rPr>
      </w:pPr>
      <w:r w:rsidRPr="00181D5D">
        <w:rPr>
          <w:rFonts w:cs="Segoe UI Light"/>
          <w:lang w:val="en-US"/>
        </w:rPr>
        <w:t xml:space="preserve">Microsoft Defender for </w:t>
      </w:r>
      <w:proofErr w:type="gramStart"/>
      <w:r w:rsidRPr="00181D5D">
        <w:rPr>
          <w:rFonts w:cs="Segoe UI Light"/>
          <w:lang w:val="en-US"/>
        </w:rPr>
        <w:t>Endpoint;</w:t>
      </w:r>
      <w:proofErr w:type="gramEnd"/>
    </w:p>
    <w:p w14:paraId="303BAA24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  <w:lang w:val="en-US"/>
        </w:rPr>
      </w:pPr>
      <w:r w:rsidRPr="00181D5D">
        <w:rPr>
          <w:rFonts w:cs="Segoe UI Light"/>
          <w:lang w:val="en-US"/>
        </w:rPr>
        <w:t>Sentinel One.</w:t>
      </w:r>
    </w:p>
    <w:p w14:paraId="7BFAF7FF" w14:textId="77777777" w:rsidR="00181D5D" w:rsidRPr="00181D5D" w:rsidRDefault="00181D5D" w:rsidP="00181D5D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4" w:name="_Toc177718113"/>
      <w:r w:rsidRPr="00181D5D">
        <w:rPr>
          <w:rFonts w:cs="Segoe UI Light"/>
          <w:color w:val="156082" w:themeColor="accent1"/>
        </w:rPr>
        <w:t>Escopo do Serviço</w:t>
      </w:r>
      <w:bookmarkEnd w:id="4"/>
    </w:p>
    <w:p w14:paraId="6608F86E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bookmarkStart w:id="5" w:name="_Toc153823886"/>
      <w:r w:rsidRPr="00181D5D">
        <w:rPr>
          <w:rFonts w:cs="Segoe UI Light"/>
        </w:rPr>
        <w:t xml:space="preserve">A seguir, apresentamos os serviços incluídos na contratação da </w:t>
      </w:r>
      <w:r w:rsidRPr="00181D5D">
        <w:rPr>
          <w:rFonts w:cs="Segoe UI Light"/>
          <w:b/>
          <w:bCs/>
        </w:rPr>
        <w:t xml:space="preserve">Implementação de Baseline de Solução de </w:t>
      </w:r>
      <w:proofErr w:type="spellStart"/>
      <w:r w:rsidRPr="00181D5D">
        <w:rPr>
          <w:rFonts w:cs="Segoe UI Light"/>
          <w:b/>
          <w:bCs/>
        </w:rPr>
        <w:t>Endpoint</w:t>
      </w:r>
      <w:proofErr w:type="spellEnd"/>
      <w:r w:rsidRPr="00181D5D">
        <w:rPr>
          <w:rFonts w:cs="Segoe UI Light"/>
          <w:b/>
          <w:bCs/>
        </w:rPr>
        <w:t xml:space="preserve"> - EDR</w:t>
      </w:r>
      <w:r w:rsidRPr="00181D5D">
        <w:rPr>
          <w:rFonts w:cs="Segoe UI Light"/>
        </w:rPr>
        <w:t>:</w:t>
      </w:r>
    </w:p>
    <w:p w14:paraId="012F8B7A" w14:textId="77777777" w:rsidR="00181D5D" w:rsidRPr="00181D5D" w:rsidRDefault="00181D5D" w:rsidP="00181D5D">
      <w:pPr>
        <w:pStyle w:val="Ttulo1"/>
        <w:spacing w:before="360" w:after="240" w:line="264" w:lineRule="auto"/>
        <w:rPr>
          <w:rFonts w:cs="Segoe UI Light"/>
          <w:sz w:val="24"/>
          <w:szCs w:val="24"/>
        </w:rPr>
      </w:pPr>
      <w:bookmarkStart w:id="6" w:name="_Toc149042808"/>
      <w:bookmarkStart w:id="7" w:name="_Toc177718114"/>
      <w:r w:rsidRPr="00181D5D">
        <w:rPr>
          <w:rFonts w:cs="Segoe UI Light"/>
          <w:color w:val="156082" w:themeColor="accent1"/>
          <w:sz w:val="24"/>
          <w:szCs w:val="24"/>
        </w:rPr>
        <w:t>Planejamento</w:t>
      </w:r>
      <w:bookmarkEnd w:id="6"/>
      <w:bookmarkEnd w:id="7"/>
    </w:p>
    <w:p w14:paraId="18066FEF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r w:rsidRPr="00181D5D">
        <w:rPr>
          <w:rFonts w:cs="Segoe UI Light"/>
        </w:rPr>
        <w:t>Levantamento de informações do ambiente:</w:t>
      </w:r>
    </w:p>
    <w:p w14:paraId="4A00E889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r w:rsidRPr="00181D5D">
        <w:rPr>
          <w:rFonts w:cs="Segoe UI Light"/>
        </w:rPr>
        <w:t>Validação dos pré-requisitos de configuração;</w:t>
      </w:r>
    </w:p>
    <w:p w14:paraId="1FE5A467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r w:rsidRPr="00181D5D">
        <w:rPr>
          <w:rFonts w:cs="Segoe UI Light"/>
        </w:rPr>
        <w:t>Verificação e confirmação do licenciamento.</w:t>
      </w:r>
    </w:p>
    <w:p w14:paraId="47E0D04B" w14:textId="77777777" w:rsidR="00181D5D" w:rsidRPr="00181D5D" w:rsidRDefault="00181D5D" w:rsidP="00181D5D">
      <w:pPr>
        <w:pStyle w:val="Ttulo1"/>
        <w:spacing w:before="360" w:after="240" w:line="264" w:lineRule="auto"/>
        <w:rPr>
          <w:rFonts w:cs="Segoe UI Light"/>
          <w:sz w:val="24"/>
          <w:szCs w:val="24"/>
        </w:rPr>
      </w:pPr>
      <w:bookmarkStart w:id="8" w:name="_Toc149042809"/>
      <w:bookmarkStart w:id="9" w:name="_Toc177718115"/>
      <w:r w:rsidRPr="00181D5D">
        <w:rPr>
          <w:rFonts w:cs="Segoe UI Light"/>
          <w:color w:val="156082" w:themeColor="accent1"/>
          <w:sz w:val="24"/>
          <w:szCs w:val="24"/>
        </w:rPr>
        <w:t>Execução</w:t>
      </w:r>
      <w:bookmarkEnd w:id="8"/>
      <w:bookmarkEnd w:id="9"/>
    </w:p>
    <w:p w14:paraId="16A3B506" w14:textId="77777777" w:rsidR="00181D5D" w:rsidRPr="00181D5D" w:rsidRDefault="00181D5D" w:rsidP="00181D5D">
      <w:pPr>
        <w:spacing w:before="120" w:after="120" w:line="264" w:lineRule="auto"/>
        <w:jc w:val="both"/>
        <w:rPr>
          <w:rFonts w:cs="Segoe UI Light"/>
        </w:rPr>
      </w:pPr>
      <w:bookmarkStart w:id="10" w:name="_Toc149042810"/>
      <w:bookmarkEnd w:id="5"/>
      <w:r w:rsidRPr="00181D5D">
        <w:rPr>
          <w:rFonts w:cs="Segoe UI Light"/>
        </w:rPr>
        <w:t>O objetivo desta fase é atualizar, revisar, validar e configurar atividades da solução de segurança no ambiente do cliente, executar as melhores práticas do fabricante e oferecer acompanhamento hands-on aos responsáveis de TI da empresa do cliente, considerando as ações planejadas previamente para a entrega do projeto, de acordo com a licença contratada.</w:t>
      </w:r>
    </w:p>
    <w:p w14:paraId="2164709D" w14:textId="77777777" w:rsidR="00181D5D" w:rsidRPr="00181D5D" w:rsidRDefault="00181D5D" w:rsidP="00181D5D">
      <w:pPr>
        <w:spacing w:before="0" w:after="160" w:line="259" w:lineRule="auto"/>
        <w:contextualSpacing/>
        <w:rPr>
          <w:rFonts w:eastAsia="Arial" w:cs="Segoe UI Light"/>
          <w:szCs w:val="20"/>
          <w:lang w:eastAsia="de-DE"/>
        </w:rPr>
      </w:pPr>
      <w:r w:rsidRPr="00181D5D">
        <w:rPr>
          <w:rFonts w:eastAsia="Arial" w:cs="Segoe UI Light"/>
          <w:szCs w:val="20"/>
          <w:lang w:eastAsia="de-DE"/>
        </w:rPr>
        <w:t>Configuração de políticas (seguindo melhores práticas de fabricante)</w:t>
      </w:r>
    </w:p>
    <w:p w14:paraId="2540EAD0" w14:textId="77777777" w:rsidR="00181D5D" w:rsidRPr="00181D5D" w:rsidRDefault="00181D5D" w:rsidP="00181D5D">
      <w:pPr>
        <w:spacing w:before="0" w:after="160" w:line="259" w:lineRule="auto"/>
        <w:contextualSpacing/>
        <w:rPr>
          <w:rFonts w:eastAsia="Arial" w:cs="Segoe UI Light"/>
          <w:szCs w:val="20"/>
          <w:lang w:eastAsia="de-DE"/>
        </w:rPr>
      </w:pPr>
      <w:r w:rsidRPr="00181D5D">
        <w:rPr>
          <w:rFonts w:eastAsia="Arial" w:cs="Segoe UI Light"/>
          <w:szCs w:val="20"/>
          <w:lang w:eastAsia="de-DE"/>
        </w:rPr>
        <w:t>Personalização de política (conforme necessidade do cliente)</w:t>
      </w:r>
    </w:p>
    <w:p w14:paraId="467CF4BF" w14:textId="77777777" w:rsidR="00181D5D" w:rsidRPr="00181D5D" w:rsidRDefault="00181D5D" w:rsidP="00181D5D">
      <w:pPr>
        <w:spacing w:before="0" w:after="160" w:line="259" w:lineRule="auto"/>
        <w:contextualSpacing/>
        <w:rPr>
          <w:rFonts w:eastAsia="Arial" w:cs="Segoe UI Light"/>
          <w:szCs w:val="20"/>
          <w:lang w:eastAsia="de-DE"/>
        </w:rPr>
      </w:pPr>
      <w:r w:rsidRPr="00181D5D">
        <w:rPr>
          <w:rFonts w:eastAsia="Arial" w:cs="Segoe UI Light"/>
          <w:szCs w:val="20"/>
          <w:lang w:eastAsia="de-DE"/>
        </w:rPr>
        <w:t>Configuração de tarefas (seguindo melhores práticas de fabricante)</w:t>
      </w:r>
    </w:p>
    <w:p w14:paraId="42C60C4B" w14:textId="77777777" w:rsidR="00181D5D" w:rsidRPr="00181D5D" w:rsidRDefault="00181D5D" w:rsidP="00181D5D">
      <w:pPr>
        <w:spacing w:before="0" w:after="160" w:line="259" w:lineRule="auto"/>
        <w:contextualSpacing/>
        <w:rPr>
          <w:rFonts w:eastAsia="Arial" w:cs="Segoe UI Light"/>
          <w:szCs w:val="20"/>
          <w:lang w:eastAsia="de-DE"/>
        </w:rPr>
      </w:pPr>
      <w:r w:rsidRPr="00181D5D">
        <w:rPr>
          <w:rFonts w:eastAsia="Arial" w:cs="Segoe UI Light"/>
          <w:szCs w:val="20"/>
          <w:lang w:eastAsia="de-DE"/>
        </w:rPr>
        <w:t>Habilitação do módulo de EDR na política (se aplicável)</w:t>
      </w:r>
    </w:p>
    <w:p w14:paraId="42D268F8" w14:textId="77777777" w:rsidR="00181D5D" w:rsidRPr="00181D5D" w:rsidRDefault="00181D5D" w:rsidP="00181D5D">
      <w:pPr>
        <w:spacing w:before="120" w:after="120" w:line="264" w:lineRule="auto"/>
        <w:jc w:val="both"/>
        <w:rPr>
          <w:rFonts w:eastAsia="Arial" w:cs="Segoe UI Light"/>
          <w:szCs w:val="20"/>
          <w:lang w:eastAsia="de-DE"/>
        </w:rPr>
      </w:pPr>
      <w:r w:rsidRPr="00181D5D">
        <w:rPr>
          <w:rFonts w:eastAsia="Arial" w:cs="Segoe UI Light"/>
          <w:szCs w:val="20"/>
          <w:lang w:eastAsia="de-DE"/>
        </w:rPr>
        <w:t>Higienização do console (limpeza de pacotes, políticas e tarefas sem uso)</w:t>
      </w:r>
    </w:p>
    <w:p w14:paraId="59608AD8" w14:textId="77777777" w:rsidR="00181D5D" w:rsidRPr="00181D5D" w:rsidRDefault="00181D5D" w:rsidP="00181D5D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11" w:name="_Toc173764374"/>
      <w:bookmarkStart w:id="12" w:name="_Toc177718116"/>
      <w:bookmarkEnd w:id="10"/>
      <w:r w:rsidRPr="00181D5D">
        <w:rPr>
          <w:rFonts w:cs="Segoe UI Light"/>
          <w:color w:val="156082" w:themeColor="accent1"/>
        </w:rPr>
        <w:t>Itens Fora do Escopo</w:t>
      </w:r>
      <w:bookmarkEnd w:id="11"/>
      <w:bookmarkEnd w:id="12"/>
    </w:p>
    <w:p w14:paraId="67BB6000" w14:textId="77777777" w:rsidR="00181D5D" w:rsidRPr="0094729B" w:rsidRDefault="00181D5D" w:rsidP="004157B2">
      <w:pPr>
        <w:spacing w:after="120"/>
        <w:jc w:val="both"/>
        <w:rPr>
          <w:rFonts w:cs="Segoe UI Light"/>
          <w:szCs w:val="20"/>
        </w:rPr>
      </w:pPr>
      <w:r w:rsidRPr="0094729B">
        <w:rPr>
          <w:rFonts w:cs="Segoe UI Light"/>
          <w:szCs w:val="20"/>
        </w:rPr>
        <w:t>Atividades que não especificadas na seção “Escopo do Serviço” serão automaticamente consideradas como “Fora do Escopo” deste projeto, tais como:</w:t>
      </w:r>
    </w:p>
    <w:p w14:paraId="1A5ED08B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>Implantação de outras soluções que não as citados no escopo deste documento;</w:t>
      </w:r>
    </w:p>
    <w:p w14:paraId="42733797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>Intervenção em qualquer ambiente de soluções que não estejam citadas no escopo deste documento;</w:t>
      </w:r>
    </w:p>
    <w:p w14:paraId="5928868D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>Não será fornecido suporte de especialistas/consultores para produtos que não são estão especificados no escopo do projeto;</w:t>
      </w:r>
    </w:p>
    <w:p w14:paraId="02BEC23E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>Não será realizada a engenharia reversa de fluxos de trabalho existentes, a documentação dos processos de gerenciamento ou a distribuição para a organização como parte deste esforço;</w:t>
      </w:r>
    </w:p>
    <w:p w14:paraId="6B2E7107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>Não será fornecido um esforço exaustivo ou contínuo de ajuste e otimização para o ambiente de produção. Em vez disso, este projeto aborda somente as práticas recomendadas com base nos requisitos disponibilizados pelo fabricante, sendo que a validação ocorrerá somente no ambiente de laboratório;</w:t>
      </w:r>
    </w:p>
    <w:p w14:paraId="6FB315B3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>Customização ou recodificação de funcionalidades que não sejam padrão das soluções implementadas;</w:t>
      </w:r>
    </w:p>
    <w:p w14:paraId="4454640C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>A Solo Network não realizará quaisquer ações de limpeza, preparação e correção de itens identificados no AD;</w:t>
      </w:r>
    </w:p>
    <w:p w14:paraId="748EE91D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>A Solo Network não irá se responsabilizar pelo backup dos dados;</w:t>
      </w:r>
    </w:p>
    <w:p w14:paraId="2991E5B0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 xml:space="preserve">Não serão </w:t>
      </w:r>
      <w:proofErr w:type="gramStart"/>
      <w:r w:rsidRPr="004157B2">
        <w:rPr>
          <w:rFonts w:cs="Segoe UI Light"/>
        </w:rPr>
        <w:t>removidas</w:t>
      </w:r>
      <w:proofErr w:type="gramEnd"/>
      <w:r w:rsidRPr="004157B2">
        <w:rPr>
          <w:rFonts w:cs="Segoe UI Light"/>
        </w:rPr>
        <w:t xml:space="preserve"> quaisquer tipos de soluções de </w:t>
      </w:r>
      <w:proofErr w:type="spellStart"/>
      <w:r w:rsidRPr="004157B2">
        <w:rPr>
          <w:rFonts w:cs="Segoe UI Light"/>
        </w:rPr>
        <w:t>endpoints</w:t>
      </w:r>
      <w:proofErr w:type="spellEnd"/>
      <w:r w:rsidRPr="004157B2">
        <w:rPr>
          <w:rFonts w:cs="Segoe UI Light"/>
        </w:rPr>
        <w:t xml:space="preserve"> do ambiente do cliente antes do deploy;</w:t>
      </w:r>
    </w:p>
    <w:p w14:paraId="5D2556FE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>Não serão acompanhadas as atualizações de Sistema Operacional nos equipamentos envolvidos;</w:t>
      </w:r>
    </w:p>
    <w:p w14:paraId="7C87481A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>Não será realizada desinfecção manual no ambiente antes do deploy;</w:t>
      </w:r>
    </w:p>
    <w:p w14:paraId="6CE61AFC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lastRenderedPageBreak/>
        <w:t>Efetuar backup de dados e arquivos de usuários ou de qualquer informação pertencente a softwares e programas de terceiros é de responsabilidade do contratante;</w:t>
      </w:r>
    </w:p>
    <w:p w14:paraId="52A61408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 xml:space="preserve">Não contempla fornecimento de nenhuma licença de terceiros, como, Windows </w:t>
      </w:r>
      <w:proofErr w:type="gramStart"/>
      <w:r w:rsidRPr="004157B2">
        <w:rPr>
          <w:rFonts w:cs="Segoe UI Light"/>
        </w:rPr>
        <w:t>server</w:t>
      </w:r>
      <w:proofErr w:type="gramEnd"/>
      <w:r w:rsidRPr="004157B2">
        <w:rPr>
          <w:rFonts w:cs="Segoe UI Light"/>
        </w:rPr>
        <w:t xml:space="preserve">, SQL, RDS; </w:t>
      </w:r>
      <w:r w:rsidRPr="004157B2">
        <w:rPr>
          <w:rFonts w:cs="Segoe UI Light"/>
          <w:b/>
          <w:bCs/>
          <w:highlight w:val="green"/>
        </w:rPr>
        <w:t>(bem como a sua implementação)</w:t>
      </w:r>
    </w:p>
    <w:p w14:paraId="485B52B1" w14:textId="77777777" w:rsidR="00181D5D" w:rsidRPr="004157B2" w:rsidRDefault="00181D5D" w:rsidP="004157B2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4157B2">
        <w:rPr>
          <w:rFonts w:cs="Segoe UI Light"/>
        </w:rPr>
        <w:t>A remoção de possíveis antivírus gratuitos e certas aplicações incompatíveis não podem ser realizadas de forma automática, devendo estas serem realizadas manualmente e diretamente na estação onde se encontram instaladas pela equipe do contratante.</w:t>
      </w:r>
    </w:p>
    <w:p w14:paraId="35AFBE4F" w14:textId="77777777" w:rsidR="00181D5D" w:rsidRDefault="00181D5D">
      <w:pPr>
        <w:pStyle w:val="Ttulo1"/>
      </w:pPr>
    </w:p>
    <w:sectPr w:rsidR="00181D5D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C12"/>
    <w:multiLevelType w:val="hybridMultilevel"/>
    <w:tmpl w:val="88CEB648"/>
    <w:lvl w:ilvl="0" w:tplc="04160001">
      <w:start w:val="1"/>
      <w:numFmt w:val="bullet"/>
      <w:lvlText w:val=""/>
      <w:lvlJc w:val="left"/>
      <w:pPr>
        <w:ind w:left="-6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72" w:hanging="360"/>
      </w:pPr>
      <w:rPr>
        <w:rFonts w:ascii="Wingdings" w:hAnsi="Wingdings" w:hint="default"/>
      </w:rPr>
    </w:lvl>
  </w:abstractNum>
  <w:abstractNum w:abstractNumId="1" w15:restartNumberingAfterBreak="0">
    <w:nsid w:val="289642C2"/>
    <w:multiLevelType w:val="hybridMultilevel"/>
    <w:tmpl w:val="A18883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D8190D"/>
    <w:multiLevelType w:val="multilevel"/>
    <w:tmpl w:val="4510D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D4E4ACE"/>
    <w:multiLevelType w:val="hybridMultilevel"/>
    <w:tmpl w:val="06D22306"/>
    <w:lvl w:ilvl="0" w:tplc="E8A0E450">
      <w:start w:val="1"/>
      <w:numFmt w:val="decimal"/>
      <w:lvlText w:val="%1."/>
      <w:lvlJc w:val="left"/>
      <w:pPr>
        <w:ind w:left="720" w:hanging="320"/>
      </w:pPr>
    </w:lvl>
    <w:lvl w:ilvl="1" w:tplc="7194B014">
      <w:start w:val="1"/>
      <w:numFmt w:val="lowerLetter"/>
      <w:lvlText w:val="%2."/>
      <w:lvlJc w:val="left"/>
      <w:pPr>
        <w:ind w:left="1440" w:hanging="320"/>
      </w:pPr>
    </w:lvl>
    <w:lvl w:ilvl="2" w:tplc="A4A03526">
      <w:start w:val="1"/>
      <w:numFmt w:val="lowerRoman"/>
      <w:lvlText w:val="%3."/>
      <w:lvlJc w:val="left"/>
      <w:pPr>
        <w:ind w:left="2160" w:hanging="320"/>
      </w:pPr>
    </w:lvl>
    <w:lvl w:ilvl="3" w:tplc="5F5CEA34">
      <w:start w:val="1"/>
      <w:numFmt w:val="decimal"/>
      <w:lvlText w:val="%4."/>
      <w:lvlJc w:val="left"/>
      <w:pPr>
        <w:ind w:left="2880" w:hanging="320"/>
      </w:pPr>
    </w:lvl>
    <w:lvl w:ilvl="4" w:tplc="60703166">
      <w:start w:val="1"/>
      <w:numFmt w:val="lowerLetter"/>
      <w:lvlText w:val="%5."/>
      <w:lvlJc w:val="left"/>
      <w:pPr>
        <w:ind w:left="3600" w:hanging="320"/>
      </w:pPr>
    </w:lvl>
    <w:lvl w:ilvl="5" w:tplc="98D49036">
      <w:start w:val="1"/>
      <w:numFmt w:val="lowerRoman"/>
      <w:lvlText w:val="%6."/>
      <w:lvlJc w:val="left"/>
      <w:pPr>
        <w:ind w:left="4320" w:hanging="320"/>
      </w:pPr>
    </w:lvl>
    <w:lvl w:ilvl="6" w:tplc="FBBCF42E">
      <w:start w:val="1"/>
      <w:numFmt w:val="decimal"/>
      <w:lvlText w:val="%7."/>
      <w:lvlJc w:val="left"/>
      <w:pPr>
        <w:ind w:left="5040" w:hanging="320"/>
      </w:pPr>
    </w:lvl>
    <w:lvl w:ilvl="7" w:tplc="161EE5F6">
      <w:start w:val="1"/>
      <w:numFmt w:val="lowerLetter"/>
      <w:lvlText w:val="%8."/>
      <w:lvlJc w:val="left"/>
      <w:pPr>
        <w:ind w:left="5760" w:hanging="320"/>
      </w:pPr>
    </w:lvl>
    <w:lvl w:ilvl="8" w:tplc="B52A8830">
      <w:start w:val="1"/>
      <w:numFmt w:val="lowerRoman"/>
      <w:lvlText w:val="%9."/>
      <w:lvlJc w:val="left"/>
      <w:pPr>
        <w:ind w:left="6480" w:hanging="320"/>
      </w:pPr>
    </w:lvl>
  </w:abstractNum>
  <w:abstractNum w:abstractNumId="4" w15:restartNumberingAfterBreak="0">
    <w:nsid w:val="58BA1DF5"/>
    <w:multiLevelType w:val="hybridMultilevel"/>
    <w:tmpl w:val="0678685E"/>
    <w:lvl w:ilvl="0" w:tplc="5D8095F2">
      <w:start w:val="1"/>
      <w:numFmt w:val="bullet"/>
      <w:lvlText w:val="●"/>
      <w:lvlJc w:val="left"/>
      <w:pPr>
        <w:ind w:left="720" w:hanging="360"/>
      </w:pPr>
    </w:lvl>
    <w:lvl w:ilvl="1" w:tplc="FE9C57D2">
      <w:start w:val="1"/>
      <w:numFmt w:val="bullet"/>
      <w:lvlText w:val="○"/>
      <w:lvlJc w:val="left"/>
      <w:pPr>
        <w:ind w:left="1440" w:hanging="360"/>
      </w:pPr>
    </w:lvl>
    <w:lvl w:ilvl="2" w:tplc="77ECF654">
      <w:start w:val="1"/>
      <w:numFmt w:val="bullet"/>
      <w:lvlText w:val="■"/>
      <w:lvlJc w:val="left"/>
      <w:pPr>
        <w:ind w:left="2160" w:hanging="360"/>
      </w:pPr>
    </w:lvl>
    <w:lvl w:ilvl="3" w:tplc="86641B46">
      <w:start w:val="1"/>
      <w:numFmt w:val="bullet"/>
      <w:lvlText w:val="●"/>
      <w:lvlJc w:val="left"/>
      <w:pPr>
        <w:ind w:left="2880" w:hanging="360"/>
      </w:pPr>
    </w:lvl>
    <w:lvl w:ilvl="4" w:tplc="976EC272">
      <w:start w:val="1"/>
      <w:numFmt w:val="bullet"/>
      <w:lvlText w:val="○"/>
      <w:lvlJc w:val="left"/>
      <w:pPr>
        <w:ind w:left="3600" w:hanging="360"/>
      </w:pPr>
    </w:lvl>
    <w:lvl w:ilvl="5" w:tplc="4BBA70E0">
      <w:start w:val="1"/>
      <w:numFmt w:val="bullet"/>
      <w:lvlText w:val="■"/>
      <w:lvlJc w:val="left"/>
      <w:pPr>
        <w:ind w:left="4320" w:hanging="360"/>
      </w:pPr>
    </w:lvl>
    <w:lvl w:ilvl="6" w:tplc="D5D2543C">
      <w:start w:val="1"/>
      <w:numFmt w:val="bullet"/>
      <w:lvlText w:val="●"/>
      <w:lvlJc w:val="left"/>
      <w:pPr>
        <w:ind w:left="5040" w:hanging="360"/>
      </w:pPr>
    </w:lvl>
    <w:lvl w:ilvl="7" w:tplc="F6C6C496">
      <w:start w:val="1"/>
      <w:numFmt w:val="bullet"/>
      <w:lvlText w:val="●"/>
      <w:lvlJc w:val="left"/>
      <w:pPr>
        <w:ind w:left="5760" w:hanging="360"/>
      </w:pPr>
    </w:lvl>
    <w:lvl w:ilvl="8" w:tplc="49E8A57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F6C456F"/>
    <w:multiLevelType w:val="hybridMultilevel"/>
    <w:tmpl w:val="F6D856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FE213D"/>
    <w:multiLevelType w:val="hybridMultilevel"/>
    <w:tmpl w:val="D6E0FB3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65761691">
    <w:abstractNumId w:val="4"/>
    <w:lvlOverride w:ilvl="0">
      <w:startOverride w:val="1"/>
    </w:lvlOverride>
  </w:num>
  <w:num w:numId="2" w16cid:durableId="878474467">
    <w:abstractNumId w:val="3"/>
    <w:lvlOverride w:ilvl="0">
      <w:startOverride w:val="1"/>
    </w:lvlOverride>
  </w:num>
  <w:num w:numId="3" w16cid:durableId="56439483">
    <w:abstractNumId w:val="2"/>
  </w:num>
  <w:num w:numId="4" w16cid:durableId="2068529083">
    <w:abstractNumId w:val="0"/>
  </w:num>
  <w:num w:numId="5" w16cid:durableId="1080326638">
    <w:abstractNumId w:val="6"/>
  </w:num>
  <w:num w:numId="6" w16cid:durableId="180628899">
    <w:abstractNumId w:val="5"/>
  </w:num>
  <w:num w:numId="7" w16cid:durableId="1147362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58"/>
    <w:rsid w:val="00181D5D"/>
    <w:rsid w:val="004157B2"/>
    <w:rsid w:val="004D52B5"/>
    <w:rsid w:val="00563F84"/>
    <w:rsid w:val="006F5F4A"/>
    <w:rsid w:val="00893080"/>
    <w:rsid w:val="008A4D77"/>
    <w:rsid w:val="00AB7363"/>
    <w:rsid w:val="00CA28F2"/>
    <w:rsid w:val="00D6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13C63"/>
  <w15:docId w15:val="{649A9858-DD77-164A-AF96-108B12D8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="Figtree" w:hAnsi="Figtree" w:cs="Figtree"/>
        <w:sz w:val="16"/>
        <w:szCs w:val="16"/>
        <w:lang w:val="pt-BR" w:eastAsia="pt-BR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sz w:val="20"/>
      <w:szCs w:val="2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link w:val="PargrafodaLista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itao">
    <w:name w:val="Quote"/>
    <w:rPr>
      <w:i/>
      <w:iCs/>
      <w:sz w:val="18"/>
      <w:szCs w:val="18"/>
    </w:rPr>
  </w:style>
  <w:style w:type="paragraph" w:customStyle="1" w:styleId="DocTitle">
    <w:name w:val="DocTitle"/>
    <w:pPr>
      <w:spacing w:after="240"/>
    </w:pPr>
    <w:rPr>
      <w:rFonts w:ascii="Poppins" w:eastAsia="Poppins" w:hAnsi="Poppins" w:cs="Poppins"/>
      <w:b/>
      <w:bCs/>
      <w:sz w:val="36"/>
      <w:szCs w:val="36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181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cb58b3-8d31-47fe-a332-85a72aea48d6}" enabled="1" method="Privileged" siteId="{706ab2a6-01a4-4abd-9fa6-0016c9637e7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842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Endpoint</vt:lpstr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Endpoint</dc:title>
  <dc:creator>Un-named</dc:creator>
  <cp:lastModifiedBy>José Marcos Werlang Ferreira</cp:lastModifiedBy>
  <cp:revision>2</cp:revision>
  <dcterms:created xsi:type="dcterms:W3CDTF">2025-12-03T19:48:00Z</dcterms:created>
  <dcterms:modified xsi:type="dcterms:W3CDTF">2025-12-03T19:48:00Z</dcterms:modified>
</cp:coreProperties>
</file>