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1B75BCA2" w:rsidR="00D63C58" w:rsidRDefault="00BD2E2F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>s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1B6DA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1B6DA0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1B6DA0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1B6DA0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1B6DA0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0366CB10" w:rsidR="00D63C58" w:rsidRDefault="00CA28F2">
            <w:pPr>
              <w:jc w:val="center"/>
            </w:pPr>
            <w:r w:rsidRPr="00CA28F2">
              <w:rPr>
                <w:color w:val="225091"/>
              </w:rPr>
              <w:t xml:space="preserve">Implementação de Baseline de Solução de </w:t>
            </w:r>
            <w:proofErr w:type="spellStart"/>
            <w:r w:rsidRPr="00CA28F2">
              <w:rPr>
                <w:color w:val="225091"/>
              </w:rPr>
              <w:t>Endpoint</w:t>
            </w:r>
            <w:proofErr w:type="spellEnd"/>
            <w:r w:rsidRPr="00CA28F2">
              <w:rPr>
                <w:color w:val="225091"/>
              </w:rPr>
              <w:t xml:space="preserve"> 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1B6DA0">
      <w:pPr>
        <w:pStyle w:val="Ttulo1"/>
      </w:pPr>
      <w:r>
        <w:rPr>
          <w:color w:val="225091"/>
        </w:rPr>
        <w:t>Objetivo</w:t>
      </w:r>
    </w:p>
    <w:p w14:paraId="15C1FA45" w14:textId="530E7FAB" w:rsidR="00D02B9A" w:rsidRPr="00D02B9A" w:rsidRDefault="001B6DA0" w:rsidP="00D02B9A">
      <w:pPr>
        <w:pStyle w:val="FirstParagraph"/>
        <w:jc w:val="both"/>
        <w:rPr>
          <w:rFonts w:cs="Segoe UI Light"/>
          <w:sz w:val="16"/>
          <w:szCs w:val="16"/>
          <w:lang w:val="pt-BR"/>
        </w:rPr>
      </w:pPr>
      <w:r w:rsidRPr="00D02B9A">
        <w:rPr>
          <w:sz w:val="16"/>
          <w:szCs w:val="16"/>
          <w:lang w:val="pt-BR"/>
        </w:rPr>
        <w:t>Este documento tem por objetivo definir a Declaração de Serviço do tipo </w:t>
      </w:r>
      <w:bookmarkStart w:id="0" w:name="_Toc147240994"/>
      <w:bookmarkStart w:id="1" w:name="_Toc153823877"/>
      <w:r w:rsidR="00D02B9A" w:rsidRPr="00D02B9A">
        <w:rPr>
          <w:rFonts w:cs="Segoe UI Light"/>
          <w:b/>
          <w:bCs/>
          <w:sz w:val="16"/>
          <w:szCs w:val="16"/>
          <w:lang w:val="pt-BR"/>
        </w:rPr>
        <w:t xml:space="preserve">Serviço Gerenciado de Segurança de </w:t>
      </w:r>
      <w:proofErr w:type="spellStart"/>
      <w:r w:rsidR="00D02B9A" w:rsidRPr="00D02B9A">
        <w:rPr>
          <w:rFonts w:cs="Segoe UI Light"/>
          <w:b/>
          <w:bCs/>
          <w:sz w:val="16"/>
          <w:szCs w:val="16"/>
          <w:lang w:val="pt-BR"/>
        </w:rPr>
        <w:t>Endpoint</w:t>
      </w:r>
      <w:proofErr w:type="spellEnd"/>
      <w:r w:rsidR="00D02B9A" w:rsidRPr="00D02B9A">
        <w:rPr>
          <w:rFonts w:cs="Segoe UI Light"/>
          <w:sz w:val="16"/>
          <w:szCs w:val="16"/>
          <w:lang w:val="pt-BR"/>
        </w:rPr>
        <w:t xml:space="preserve">. O objetivo é proteger, monitorar e otimizar continuamente os </w:t>
      </w:r>
      <w:proofErr w:type="spellStart"/>
      <w:r w:rsidR="00D02B9A" w:rsidRPr="00D02B9A">
        <w:rPr>
          <w:rFonts w:cs="Segoe UI Light"/>
          <w:b/>
          <w:bCs/>
          <w:sz w:val="16"/>
          <w:szCs w:val="16"/>
          <w:lang w:val="pt-BR"/>
        </w:rPr>
        <w:t>endpoints</w:t>
      </w:r>
      <w:proofErr w:type="spellEnd"/>
      <w:r w:rsidR="00D02B9A" w:rsidRPr="00D02B9A">
        <w:rPr>
          <w:rFonts w:cs="Segoe UI Light"/>
          <w:sz w:val="16"/>
          <w:szCs w:val="16"/>
          <w:lang w:val="pt-BR"/>
        </w:rPr>
        <w:t xml:space="preserve"> (desktops, notebooks, servidores e ativos móveis), em ambientes </w:t>
      </w:r>
      <w:proofErr w:type="spellStart"/>
      <w:r w:rsidR="00D02B9A" w:rsidRPr="00D02B9A">
        <w:rPr>
          <w:rFonts w:cs="Segoe UI Light"/>
          <w:i/>
          <w:iCs/>
          <w:sz w:val="16"/>
          <w:szCs w:val="16"/>
          <w:lang w:val="pt-BR"/>
        </w:rPr>
        <w:t>on‑premises</w:t>
      </w:r>
      <w:proofErr w:type="spellEnd"/>
      <w:r w:rsidR="00D02B9A" w:rsidRPr="00D02B9A">
        <w:rPr>
          <w:rFonts w:cs="Segoe UI Light"/>
          <w:sz w:val="16"/>
          <w:szCs w:val="16"/>
          <w:lang w:val="pt-BR"/>
        </w:rPr>
        <w:t xml:space="preserve">, cloud e híbridos. Mais do que operar uma ferramenta de EDR/XDR, o serviço adota a filosofia Solo Iron baseada na tríade </w:t>
      </w:r>
      <w:r w:rsidR="00D02B9A" w:rsidRPr="00D02B9A">
        <w:rPr>
          <w:rFonts w:cs="Segoe UI Light"/>
          <w:b/>
          <w:bCs/>
          <w:sz w:val="16"/>
          <w:szCs w:val="16"/>
          <w:lang w:val="pt-BR"/>
        </w:rPr>
        <w:t>Pessoas, Processos e Ferramentas</w:t>
      </w:r>
      <w:r w:rsidR="00D02B9A" w:rsidRPr="00D02B9A">
        <w:rPr>
          <w:rFonts w:cs="Segoe UI Light"/>
          <w:sz w:val="16"/>
          <w:szCs w:val="16"/>
          <w:lang w:val="pt-BR"/>
        </w:rPr>
        <w:t>, entregando uma camada robusta de proteção que combina inteligência, automação e governança.</w:t>
      </w:r>
    </w:p>
    <w:p w14:paraId="4DAAD5DF" w14:textId="77777777" w:rsidR="00D02B9A" w:rsidRPr="00D02B9A" w:rsidRDefault="00D02B9A" w:rsidP="00D02B9A">
      <w:pPr>
        <w:spacing w:before="0" w:after="120" w:line="259" w:lineRule="auto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O serviço busca:</w:t>
      </w:r>
    </w:p>
    <w:p w14:paraId="2DDBBDAE" w14:textId="77777777" w:rsidR="00D02B9A" w:rsidRPr="00D02B9A" w:rsidRDefault="00D02B9A" w:rsidP="00D02B9A">
      <w:pPr>
        <w:numPr>
          <w:ilvl w:val="0"/>
          <w:numId w:val="6"/>
        </w:num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Reduzir a superfície de ataque dos dispositivos por meio de políticas de segurança alinhadas ao conceito de Zero Trust, segmentação lógica e redução de privilégios.</w:t>
      </w:r>
    </w:p>
    <w:p w14:paraId="620884BD" w14:textId="77777777" w:rsidR="00D02B9A" w:rsidRPr="00D02B9A" w:rsidRDefault="00D02B9A" w:rsidP="00D02B9A">
      <w:pPr>
        <w:numPr>
          <w:ilvl w:val="0"/>
          <w:numId w:val="6"/>
        </w:num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Elevar o nível de maturidade em segurança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>, com gestão proativa de políticas, atualizações, vulnerabilidades e auditorias, assegurando aderência a frameworks como NIST CSF, ISO 27001 e CIS </w:t>
      </w:r>
      <w:proofErr w:type="spellStart"/>
      <w:r w:rsidRPr="00D02B9A">
        <w:rPr>
          <w:rFonts w:eastAsia="Calibri" w:cs="Segoe UI Light"/>
          <w:lang w:eastAsia="en-US"/>
        </w:rPr>
        <w:t>Controls</w:t>
      </w:r>
      <w:proofErr w:type="spellEnd"/>
      <w:r w:rsidRPr="00D02B9A">
        <w:rPr>
          <w:rFonts w:eastAsia="Calibri" w:cs="Segoe UI Light"/>
          <w:lang w:eastAsia="en-US"/>
        </w:rPr>
        <w:t>.</w:t>
      </w:r>
    </w:p>
    <w:p w14:paraId="7BD94044" w14:textId="77777777" w:rsidR="00D02B9A" w:rsidRPr="00D02B9A" w:rsidRDefault="00D02B9A" w:rsidP="00D02B9A">
      <w:pPr>
        <w:numPr>
          <w:ilvl w:val="0"/>
          <w:numId w:val="6"/>
        </w:num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Habilitar visibilidade contínua e resposta coordenada a incidentes, integrando logs e telemetria a ferramentas de SIEM/SOAR, com correlação, automação e escalonamento.</w:t>
      </w:r>
    </w:p>
    <w:p w14:paraId="58836956" w14:textId="77777777" w:rsidR="00D02B9A" w:rsidRPr="00D02B9A" w:rsidRDefault="00D02B9A" w:rsidP="00D02B9A">
      <w:pPr>
        <w:numPr>
          <w:ilvl w:val="0"/>
          <w:numId w:val="6"/>
        </w:num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Atuar de forma contínua e orientada a riscos através de </w:t>
      </w:r>
      <w:proofErr w:type="spellStart"/>
      <w:r w:rsidRPr="00D02B9A">
        <w:rPr>
          <w:rFonts w:eastAsia="Calibri" w:cs="Segoe UI Light"/>
          <w:lang w:eastAsia="en-US"/>
        </w:rPr>
        <w:t>SLAs</w:t>
      </w:r>
      <w:proofErr w:type="spellEnd"/>
      <w:r w:rsidRPr="00D02B9A">
        <w:rPr>
          <w:rFonts w:eastAsia="Calibri" w:cs="Segoe UI Light"/>
          <w:lang w:eastAsia="en-US"/>
        </w:rPr>
        <w:t xml:space="preserve">, </w:t>
      </w:r>
      <w:proofErr w:type="spellStart"/>
      <w:r w:rsidRPr="00D02B9A">
        <w:rPr>
          <w:rFonts w:eastAsia="Calibri" w:cs="Segoe UI Light"/>
          <w:lang w:eastAsia="en-US"/>
        </w:rPr>
        <w:t>OLAs</w:t>
      </w:r>
      <w:proofErr w:type="spellEnd"/>
      <w:r w:rsidRPr="00D02B9A">
        <w:rPr>
          <w:rFonts w:eastAsia="Calibri" w:cs="Segoe UI Light"/>
          <w:lang w:eastAsia="en-US"/>
        </w:rPr>
        <w:t xml:space="preserve"> e KPIs, com ciclos de melhoria sustentados por indicadores operacionais, táticos e estratégicos.</w:t>
      </w:r>
    </w:p>
    <w:p w14:paraId="446CF32A" w14:textId="77777777" w:rsidR="00D02B9A" w:rsidRPr="00D02B9A" w:rsidRDefault="00D02B9A" w:rsidP="00D02B9A">
      <w:pPr>
        <w:numPr>
          <w:ilvl w:val="0"/>
          <w:numId w:val="6"/>
        </w:num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Oferecer cobertura especializada e consultiva, disponibilizando uma equipe com expertise em EDR/XDR, </w:t>
      </w:r>
      <w:proofErr w:type="spellStart"/>
      <w:r w:rsidRPr="00D02B9A">
        <w:rPr>
          <w:rFonts w:eastAsia="Calibri" w:cs="Segoe UI Light"/>
          <w:lang w:eastAsia="en-US"/>
        </w:rPr>
        <w:t>threat</w:t>
      </w:r>
      <w:proofErr w:type="spellEnd"/>
      <w:r w:rsidRPr="00D02B9A">
        <w:rPr>
          <w:rFonts w:eastAsia="Calibri" w:cs="Segoe UI Light"/>
          <w:lang w:eastAsia="en-US"/>
        </w:rPr>
        <w:t> </w:t>
      </w:r>
      <w:proofErr w:type="spellStart"/>
      <w:r w:rsidRPr="00D02B9A">
        <w:rPr>
          <w:rFonts w:eastAsia="Calibri" w:cs="Segoe UI Light"/>
          <w:lang w:eastAsia="en-US"/>
        </w:rPr>
        <w:t>intelligence</w:t>
      </w:r>
      <w:proofErr w:type="spellEnd"/>
      <w:r w:rsidRPr="00D02B9A">
        <w:rPr>
          <w:rFonts w:eastAsia="Calibri" w:cs="Segoe UI Light"/>
          <w:lang w:eastAsia="en-US"/>
        </w:rPr>
        <w:t xml:space="preserve"> e arquitetura segura, capaz de apoiar desde o desenho das políticas até a contenção de ataques avançados.</w:t>
      </w:r>
    </w:p>
    <w:p w14:paraId="22B973D1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" w:name="_Toc212465394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Definições</w:t>
      </w:r>
      <w:bookmarkEnd w:id="0"/>
      <w:bookmarkEnd w:id="1"/>
      <w:bookmarkEnd w:id="2"/>
    </w:p>
    <w:p w14:paraId="3F9CDF6F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bookmarkStart w:id="3" w:name="_Toc153819535"/>
      <w:bookmarkStart w:id="4" w:name="_Toc149040781"/>
      <w:proofErr w:type="spellStart"/>
      <w:r w:rsidRPr="00D02B9A">
        <w:rPr>
          <w:rFonts w:eastAsia="Calibri" w:cs="Segoe UI Light"/>
          <w:b/>
          <w:bCs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>: Um dispositivo ou componente conectado à rede do cliente;</w:t>
      </w:r>
    </w:p>
    <w:p w14:paraId="00347C3F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Suporte:</w:t>
      </w:r>
      <w:r w:rsidRPr="00D02B9A">
        <w:rPr>
          <w:rFonts w:eastAsia="Calibri" w:cs="Segoe UI Light"/>
          <w:lang w:eastAsia="en-US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788F24F8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Serviço Gerenciado:</w:t>
      </w:r>
      <w:r w:rsidRPr="00D02B9A">
        <w:rPr>
          <w:rFonts w:eastAsia="Calibri" w:cs="Segoe UI Light"/>
          <w:lang w:eastAsia="en-US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268A451E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Requisição de Serviço:</w:t>
      </w:r>
      <w:r w:rsidRPr="00D02B9A">
        <w:rPr>
          <w:rFonts w:eastAsia="Calibri" w:cs="Segoe UI Light"/>
          <w:lang w:eastAsia="en-US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D02B9A">
        <w:rPr>
          <w:rFonts w:eastAsia="Calibri" w:cs="Segoe UI Light"/>
          <w:lang w:eastAsia="en-US"/>
        </w:rPr>
        <w:t>SysAdmin</w:t>
      </w:r>
      <w:proofErr w:type="spellEnd"/>
      <w:r w:rsidRPr="00D02B9A">
        <w:rPr>
          <w:rFonts w:eastAsia="Calibri" w:cs="Segoe UI Light"/>
          <w:lang w:eastAsia="en-US"/>
        </w:rPr>
        <w:t>;</w:t>
      </w:r>
    </w:p>
    <w:p w14:paraId="218A5DE7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Contact Center:</w:t>
      </w:r>
      <w:r w:rsidRPr="00D02B9A">
        <w:rPr>
          <w:rFonts w:eastAsia="Calibri" w:cs="Segoe UI Light"/>
          <w:lang w:eastAsia="en-US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54411DC4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Tempo de resposta</w:t>
      </w:r>
      <w:r w:rsidRPr="00D02B9A">
        <w:rPr>
          <w:rFonts w:eastAsia="Calibri" w:cs="Segoe UI Light"/>
          <w:lang w:eastAsia="en-US"/>
        </w:rPr>
        <w:t>: O prazo máximo para a resposta da requisição;</w:t>
      </w:r>
    </w:p>
    <w:p w14:paraId="611FC08B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lastRenderedPageBreak/>
        <w:t>Atendimento 8x5</w:t>
      </w:r>
      <w:r w:rsidRPr="00D02B9A">
        <w:rPr>
          <w:rFonts w:eastAsia="Calibri" w:cs="Segoe UI Light"/>
          <w:lang w:eastAsia="en-US"/>
        </w:rPr>
        <w:t>: Atendimento realizado durante o horário comercial padrão, das 8h às 18h, de segunda a sexta-feira. Não inclui suporte aos finais de semana ou feriados;</w:t>
      </w:r>
    </w:p>
    <w:p w14:paraId="1A2A7442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Atendimento 24x7</w:t>
      </w:r>
      <w:r w:rsidRPr="00D02B9A">
        <w:rPr>
          <w:rFonts w:eastAsia="Calibri" w:cs="Segoe UI Light"/>
          <w:lang w:eastAsia="en-US"/>
        </w:rPr>
        <w:t>: Atendimento realizado 24 horas por dia e 7 dias por semana, incluídos finais de semanas e feriados;</w:t>
      </w:r>
    </w:p>
    <w:p w14:paraId="69BAC0B2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Frequência do serviço Pontual</w:t>
      </w:r>
      <w:r w:rsidRPr="00D02B9A">
        <w:rPr>
          <w:rFonts w:eastAsia="Calibri" w:cs="Segoe UI Light"/>
          <w:lang w:eastAsia="en-US"/>
        </w:rPr>
        <w:t>: Um serviço pontual é realizado em um momento específico, com datas precisas para início e término;</w:t>
      </w:r>
    </w:p>
    <w:p w14:paraId="3C7F59C3" w14:textId="77777777" w:rsidR="00D02B9A" w:rsidRPr="00D02B9A" w:rsidRDefault="00D02B9A" w:rsidP="00D02B9A">
      <w:pPr>
        <w:numPr>
          <w:ilvl w:val="0"/>
          <w:numId w:val="3"/>
        </w:numPr>
        <w:spacing w:before="120" w:after="120" w:line="264" w:lineRule="auto"/>
        <w:ind w:left="1058" w:hanging="357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Frequência do serviço Recorrente</w:t>
      </w:r>
      <w:r w:rsidRPr="00D02B9A">
        <w:rPr>
          <w:rFonts w:eastAsia="Calibri" w:cs="Segoe UI Light"/>
          <w:lang w:eastAsia="en-US"/>
        </w:rPr>
        <w:t>: um serviço recorrente significa que ele ocorre em intervalos regulares e é repetido ao longo do tempo.</w:t>
      </w:r>
    </w:p>
    <w:p w14:paraId="7CA3534C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5" w:name="_Toc212465395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Classificação da Frequência do Serviço</w:t>
      </w:r>
      <w:bookmarkEnd w:id="3"/>
      <w:bookmarkEnd w:id="5"/>
    </w:p>
    <w:p w14:paraId="20BF7310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O </w:t>
      </w:r>
      <w:r w:rsidRPr="00D02B9A">
        <w:rPr>
          <w:rFonts w:eastAsia="Calibri" w:cs="Segoe UI Light"/>
          <w:b/>
          <w:bCs/>
          <w:lang w:eastAsia="en-US"/>
        </w:rPr>
        <w:t xml:space="preserve">Serviço Gerenciado de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 xml:space="preserve"> é estruturado como um ciclo contínuo de </w:t>
      </w:r>
      <w:r w:rsidRPr="00D02B9A">
        <w:rPr>
          <w:rFonts w:eastAsia="Calibri" w:cs="Segoe UI Light"/>
          <w:b/>
          <w:bCs/>
          <w:lang w:eastAsia="en-US"/>
        </w:rPr>
        <w:t>avaliação, medição, planejamento e execução</w:t>
      </w:r>
      <w:r w:rsidRPr="00D02B9A">
        <w:rPr>
          <w:rFonts w:eastAsia="Calibri" w:cs="Segoe UI Light"/>
          <w:lang w:eastAsia="en-US"/>
        </w:rPr>
        <w:t xml:space="preserve">, promovendo evolução sistemática da postura de segurança dos dispositivos do cliente. Inspirado nos frameworks </w:t>
      </w:r>
      <w:r w:rsidRPr="00D02B9A">
        <w:rPr>
          <w:rFonts w:eastAsia="Calibri" w:cs="Segoe UI Light"/>
          <w:b/>
          <w:bCs/>
          <w:lang w:eastAsia="en-US"/>
        </w:rPr>
        <w:t>NIST </w:t>
      </w:r>
      <w:proofErr w:type="spellStart"/>
      <w:r w:rsidRPr="00D02B9A">
        <w:rPr>
          <w:rFonts w:eastAsia="Calibri" w:cs="Segoe UI Light"/>
          <w:b/>
          <w:bCs/>
          <w:lang w:eastAsia="en-US"/>
        </w:rPr>
        <w:t>Cybersecurity</w:t>
      </w:r>
      <w:proofErr w:type="spellEnd"/>
      <w:r w:rsidRPr="00D02B9A">
        <w:rPr>
          <w:rFonts w:eastAsia="Calibri" w:cs="Segoe UI Light"/>
          <w:b/>
          <w:bCs/>
          <w:lang w:eastAsia="en-US"/>
        </w:rPr>
        <w:t> Framework</w:t>
      </w:r>
      <w:r w:rsidRPr="00D02B9A">
        <w:rPr>
          <w:rFonts w:eastAsia="Calibri" w:cs="Segoe UI Light"/>
          <w:lang w:eastAsia="en-US"/>
        </w:rPr>
        <w:t xml:space="preserve"> e </w:t>
      </w:r>
      <w:r w:rsidRPr="00D02B9A">
        <w:rPr>
          <w:rFonts w:eastAsia="Calibri" w:cs="Segoe UI Light"/>
          <w:b/>
          <w:bCs/>
          <w:lang w:eastAsia="en-US"/>
        </w:rPr>
        <w:t>CIS </w:t>
      </w:r>
      <w:proofErr w:type="spellStart"/>
      <w:r w:rsidRPr="00D02B9A">
        <w:rPr>
          <w:rFonts w:eastAsia="Calibri" w:cs="Segoe UI Light"/>
          <w:b/>
          <w:bCs/>
          <w:lang w:eastAsia="en-US"/>
        </w:rPr>
        <w:t>Controls</w:t>
      </w:r>
      <w:proofErr w:type="spellEnd"/>
      <w:r w:rsidRPr="00D02B9A">
        <w:rPr>
          <w:rFonts w:eastAsia="Calibri" w:cs="Segoe UI Light"/>
          <w:lang w:eastAsia="en-US"/>
        </w:rPr>
        <w:t xml:space="preserve">, o serviço considera os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como elementos centrais da proteção e converge funções de </w:t>
      </w:r>
      <w:r w:rsidRPr="00D02B9A">
        <w:rPr>
          <w:rFonts w:eastAsia="Calibri" w:cs="Segoe UI Light"/>
          <w:b/>
          <w:bCs/>
          <w:lang w:eastAsia="en-US"/>
        </w:rPr>
        <w:t>EPP</w:t>
      </w:r>
      <w:r w:rsidRPr="00D02B9A">
        <w:rPr>
          <w:rFonts w:eastAsia="Calibri" w:cs="Segoe UI Light"/>
          <w:lang w:eastAsia="en-US"/>
        </w:rPr>
        <w:t xml:space="preserve"> (Proteção de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) e </w:t>
      </w:r>
      <w:r w:rsidRPr="00D02B9A">
        <w:rPr>
          <w:rFonts w:eastAsia="Calibri" w:cs="Segoe UI Light"/>
          <w:b/>
          <w:bCs/>
          <w:lang w:eastAsia="en-US"/>
        </w:rPr>
        <w:t>EDR/XDR</w:t>
      </w:r>
      <w:r w:rsidRPr="00D02B9A">
        <w:rPr>
          <w:rFonts w:eastAsia="Calibri" w:cs="Segoe UI Light"/>
          <w:lang w:eastAsia="en-US"/>
        </w:rPr>
        <w:t xml:space="preserve"> para detectar e responder a ameaças modernas.</w:t>
      </w:r>
    </w:p>
    <w:p w14:paraId="6BADE861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6" w:name="_Toc153819536"/>
      <w:bookmarkStart w:id="7" w:name="_Toc153823879"/>
      <w:bookmarkStart w:id="8" w:name="_Toc212465396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Fabricantes e/ou Licenças Suportados</w:t>
      </w:r>
      <w:bookmarkEnd w:id="6"/>
      <w:bookmarkEnd w:id="7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 xml:space="preserve"> para Realização do Serviço</w:t>
      </w:r>
      <w:bookmarkEnd w:id="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6"/>
        <w:gridCol w:w="6880"/>
      </w:tblGrid>
      <w:tr w:rsidR="00D02B9A" w:rsidRPr="00D02B9A" w14:paraId="010202B1" w14:textId="77777777" w:rsidTr="00D02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4"/>
          <w:p w14:paraId="09B8BA97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Fabricante </w:t>
            </w:r>
          </w:p>
        </w:tc>
        <w:tc>
          <w:tcPr>
            <w:tcW w:w="0" w:type="auto"/>
          </w:tcPr>
          <w:p w14:paraId="0EDAF552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val="pt-BR" w:eastAsia="en-US"/>
              </w:rPr>
              <w:t> Soluções e versões de referência </w:t>
            </w:r>
          </w:p>
        </w:tc>
      </w:tr>
      <w:tr w:rsidR="00D02B9A" w:rsidRPr="00D02B9A" w14:paraId="6E7EDA5A" w14:textId="77777777" w:rsidTr="00D02B9A">
        <w:tc>
          <w:tcPr>
            <w:tcW w:w="0" w:type="auto"/>
          </w:tcPr>
          <w:p w14:paraId="452DE0BF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Microsoft </w:t>
            </w:r>
          </w:p>
        </w:tc>
        <w:tc>
          <w:tcPr>
            <w:tcW w:w="0" w:type="auto"/>
          </w:tcPr>
          <w:p w14:paraId="0C13CBD1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Defender for Endpoint, Enterprise E5, EDR/XDR </w:t>
            </w:r>
          </w:p>
        </w:tc>
      </w:tr>
      <w:tr w:rsidR="00D02B9A" w:rsidRPr="008A13EA" w14:paraId="035734E6" w14:textId="77777777" w:rsidTr="00D02B9A">
        <w:tc>
          <w:tcPr>
            <w:tcW w:w="0" w:type="auto"/>
          </w:tcPr>
          <w:p w14:paraId="138BAF33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Kaspersky </w:t>
            </w:r>
          </w:p>
        </w:tc>
        <w:tc>
          <w:tcPr>
            <w:tcW w:w="0" w:type="auto"/>
          </w:tcPr>
          <w:p w14:paraId="70CCFEC8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Next EDR, Next XDR, MDR</w:t>
            </w:r>
          </w:p>
        </w:tc>
      </w:tr>
      <w:tr w:rsidR="00D02B9A" w:rsidRPr="00D02B9A" w14:paraId="55387EB6" w14:textId="77777777" w:rsidTr="00D02B9A">
        <w:tc>
          <w:tcPr>
            <w:tcW w:w="0" w:type="auto"/>
          </w:tcPr>
          <w:p w14:paraId="439500F2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</w:t>
            </w:r>
            <w:proofErr w:type="spellStart"/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SentinelOne</w:t>
            </w:r>
            <w:proofErr w:type="spellEnd"/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46520FE4" w14:textId="77777777" w:rsidR="00D02B9A" w:rsidRPr="00D02B9A" w:rsidRDefault="00D02B9A" w:rsidP="00D02B9A">
            <w:pPr>
              <w:spacing w:before="36" w:after="36"/>
              <w:rPr>
                <w:rFonts w:ascii="Figtree" w:hAnsi="Figtree" w:cs="Segoe UI Light"/>
                <w:sz w:val="16"/>
                <w:szCs w:val="16"/>
                <w:lang w:eastAsia="en-US"/>
              </w:rPr>
            </w:pPr>
            <w:r w:rsidRPr="00D02B9A">
              <w:rPr>
                <w:rFonts w:ascii="Figtree" w:hAnsi="Figtree" w:cs="Segoe UI Light"/>
                <w:sz w:val="16"/>
                <w:szCs w:val="16"/>
                <w:lang w:eastAsia="en-US"/>
              </w:rPr>
              <w:t> Singularity, Ranger </w:t>
            </w:r>
          </w:p>
        </w:tc>
      </w:tr>
      <w:tr w:rsidR="00D02B9A" w:rsidRPr="00D02B9A" w14:paraId="79BB9D12" w14:textId="77777777" w:rsidTr="00D02B9A">
        <w:tc>
          <w:tcPr>
            <w:tcW w:w="0" w:type="auto"/>
          </w:tcPr>
          <w:p w14:paraId="7361E0A2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</w:tcPr>
          <w:p w14:paraId="0CF3A2DD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22"/>
                <w:szCs w:val="22"/>
                <w:lang w:eastAsia="en-US"/>
              </w:rPr>
            </w:pPr>
          </w:p>
        </w:tc>
      </w:tr>
    </w:tbl>
    <w:p w14:paraId="2D85C2DC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9" w:name="_Toc212465397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Escopo do Serviço</w:t>
      </w:r>
      <w:bookmarkEnd w:id="9"/>
    </w:p>
    <w:p w14:paraId="7F914D8E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O </w:t>
      </w:r>
      <w:r w:rsidRPr="00D02B9A">
        <w:rPr>
          <w:rFonts w:eastAsia="Calibri" w:cs="Segoe UI Light"/>
          <w:i/>
          <w:iCs/>
          <w:lang w:eastAsia="en-US"/>
        </w:rPr>
        <w:t>Iron </w:t>
      </w:r>
      <w:proofErr w:type="spellStart"/>
      <w:r w:rsidRPr="00D02B9A">
        <w:rPr>
          <w:rFonts w:eastAsia="Calibri" w:cs="Segoe UI Light"/>
          <w:i/>
          <w:iCs/>
          <w:lang w:eastAsia="en-US"/>
        </w:rPr>
        <w:t>Endpoint</w:t>
      </w:r>
      <w:proofErr w:type="spellEnd"/>
      <w:r w:rsidRPr="00D02B9A">
        <w:rPr>
          <w:rFonts w:eastAsia="Calibri" w:cs="Segoe UI Light"/>
          <w:i/>
          <w:iCs/>
          <w:lang w:eastAsia="en-US"/>
        </w:rPr>
        <w:t> Security</w:t>
      </w:r>
      <w:r w:rsidRPr="00D02B9A">
        <w:rPr>
          <w:rFonts w:eastAsia="Calibri" w:cs="Segoe UI Light"/>
          <w:lang w:eastAsia="en-US"/>
        </w:rPr>
        <w:t xml:space="preserve"> é entregue em </w:t>
      </w:r>
      <w:r w:rsidRPr="00D02B9A">
        <w:rPr>
          <w:rFonts w:eastAsia="Calibri" w:cs="Segoe UI Light"/>
          <w:b/>
          <w:bCs/>
          <w:lang w:eastAsia="en-US"/>
        </w:rPr>
        <w:t>ciclos trimestrais de evolução contínua</w:t>
      </w:r>
      <w:r w:rsidRPr="00D02B9A">
        <w:rPr>
          <w:rFonts w:eastAsia="Calibri" w:cs="Segoe UI Light"/>
          <w:lang w:eastAsia="en-US"/>
        </w:rPr>
        <w:t xml:space="preserve"> (</w:t>
      </w:r>
      <w:proofErr w:type="spellStart"/>
      <w:r w:rsidRPr="00D02B9A">
        <w:rPr>
          <w:rFonts w:eastAsia="Calibri" w:cs="Segoe UI Light"/>
          <w:i/>
          <w:iCs/>
          <w:lang w:eastAsia="en-US"/>
        </w:rPr>
        <w:t>Quarterly</w:t>
      </w:r>
      <w:proofErr w:type="spellEnd"/>
      <w:r w:rsidRPr="00D02B9A">
        <w:rPr>
          <w:rFonts w:eastAsia="Calibri" w:cs="Segoe UI Light"/>
          <w:i/>
          <w:iCs/>
          <w:lang w:eastAsia="en-US"/>
        </w:rPr>
        <w:t xml:space="preserve"> Business Reviews –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QBRs</w:t>
      </w:r>
      <w:proofErr w:type="spellEnd"/>
      <w:r w:rsidRPr="00D02B9A">
        <w:rPr>
          <w:rFonts w:eastAsia="Calibri" w:cs="Segoe UI Light"/>
          <w:lang w:eastAsia="en-US"/>
        </w:rPr>
        <w:t xml:space="preserve">), garantindo progresso previsível e alinhado às necessidades de negócio. Cada QBR inclui cinco fases principais, </w:t>
      </w:r>
      <w:r w:rsidRPr="00D02B9A">
        <w:rPr>
          <w:rFonts w:eastAsia="Calibri" w:cs="Segoe UI Light"/>
          <w:b/>
          <w:bCs/>
          <w:lang w:eastAsia="en-US"/>
        </w:rPr>
        <w:t>Análise, Medição, Planejamento, Apresentação</w:t>
      </w:r>
      <w:r w:rsidRPr="00D02B9A">
        <w:rPr>
          <w:rFonts w:eastAsia="Calibri" w:cs="Segoe UI Light"/>
          <w:lang w:eastAsia="en-US"/>
        </w:rPr>
        <w:t xml:space="preserve"> e </w:t>
      </w:r>
      <w:r w:rsidRPr="00D02B9A">
        <w:rPr>
          <w:rFonts w:eastAsia="Calibri" w:cs="Segoe UI Light"/>
          <w:b/>
          <w:bCs/>
          <w:lang w:eastAsia="en-US"/>
        </w:rPr>
        <w:t>Implementação</w:t>
      </w:r>
      <w:r w:rsidRPr="00D02B9A">
        <w:rPr>
          <w:rFonts w:eastAsia="Calibri" w:cs="Segoe UI Light"/>
          <w:lang w:eastAsia="en-US"/>
        </w:rPr>
        <w:t>, que se complementam para identificar riscos, medir maturidade, priorizar ações e executar melhorias.</w:t>
      </w:r>
    </w:p>
    <w:p w14:paraId="04594669" w14:textId="77777777" w:rsidR="00D02B9A" w:rsidRPr="00D02B9A" w:rsidRDefault="00D02B9A" w:rsidP="00D02B9A">
      <w:pPr>
        <w:spacing w:before="0" w:after="120" w:line="259" w:lineRule="auto"/>
        <w:jc w:val="center"/>
        <w:rPr>
          <w:rFonts w:eastAsia="Calibri" w:cs="Times New Roman"/>
          <w:sz w:val="22"/>
          <w:szCs w:val="22"/>
          <w:lang w:eastAsia="en-US"/>
        </w:rPr>
      </w:pPr>
      <w:r w:rsidRPr="00D02B9A">
        <w:rPr>
          <w:rFonts w:eastAsia="Calibri" w:cs="Times New Roman"/>
          <w:noProof/>
          <w:sz w:val="22"/>
          <w:szCs w:val="22"/>
          <w:lang w:eastAsia="en-US"/>
        </w:rPr>
        <w:drawing>
          <wp:inline distT="0" distB="0" distL="0" distR="0" wp14:anchorId="16F663D4" wp14:editId="3B315BDE">
            <wp:extent cx="5232978" cy="2296972"/>
            <wp:effectExtent l="0" t="0" r="6350" b="8255"/>
            <wp:docPr id="855671654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1654" name="Imagem 3" descr="Diagram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798" cy="23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D81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0" w:name="_Toc212465398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Etapa de Análise</w:t>
      </w:r>
      <w:bookmarkEnd w:id="10"/>
    </w:p>
    <w:p w14:paraId="3C1A5304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fase de </w:t>
      </w:r>
      <w:r w:rsidRPr="00D02B9A">
        <w:rPr>
          <w:rFonts w:eastAsia="Calibri" w:cs="Segoe UI Light"/>
          <w:b/>
          <w:bCs/>
          <w:lang w:eastAsia="en-US"/>
        </w:rPr>
        <w:t>Análise</w:t>
      </w:r>
      <w:r w:rsidRPr="00D02B9A">
        <w:rPr>
          <w:rFonts w:eastAsia="Calibri" w:cs="Segoe UI Light"/>
          <w:lang w:eastAsia="en-US"/>
        </w:rPr>
        <w:t xml:space="preserve"> marca o início do QBR. O objetivo é conduzir um </w:t>
      </w:r>
      <w:r w:rsidRPr="00D02B9A">
        <w:rPr>
          <w:rFonts w:eastAsia="Calibri" w:cs="Segoe UI Light"/>
          <w:b/>
          <w:bCs/>
          <w:lang w:eastAsia="en-US"/>
        </w:rPr>
        <w:t>assessment estruturado</w:t>
      </w:r>
      <w:r w:rsidRPr="00D02B9A">
        <w:rPr>
          <w:rFonts w:eastAsia="Calibri" w:cs="Segoe UI Light"/>
          <w:lang w:eastAsia="en-US"/>
        </w:rPr>
        <w:t xml:space="preserve"> da maturidade em segurança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>, identificando riscos, lacunas e oportunidades de melhoria. As perguntas de assessment são baseadas em frameworks e referências como:</w:t>
      </w:r>
    </w:p>
    <w:p w14:paraId="58EFA2AF" w14:textId="77777777" w:rsidR="00D02B9A" w:rsidRPr="00190627" w:rsidRDefault="00D02B9A" w:rsidP="00190627">
      <w:pPr>
        <w:pStyle w:val="PargrafodaLista"/>
        <w:numPr>
          <w:ilvl w:val="0"/>
          <w:numId w:val="10"/>
        </w:numPr>
        <w:spacing w:before="36" w:after="36" w:line="259" w:lineRule="auto"/>
        <w:jc w:val="both"/>
        <w:rPr>
          <w:rFonts w:eastAsia="Calibri" w:cs="Segoe UI Light"/>
          <w:lang w:val="en-US" w:eastAsia="en-US"/>
        </w:rPr>
      </w:pPr>
      <w:r w:rsidRPr="00190627">
        <w:rPr>
          <w:rFonts w:eastAsia="Calibri" w:cs="Segoe UI Light"/>
          <w:b/>
          <w:bCs/>
          <w:lang w:eastAsia="en-US"/>
        </w:rPr>
        <w:t>CIS </w:t>
      </w:r>
      <w:proofErr w:type="spellStart"/>
      <w:r w:rsidRPr="00190627">
        <w:rPr>
          <w:rFonts w:eastAsia="Calibri" w:cs="Segoe UI Light"/>
          <w:b/>
          <w:bCs/>
          <w:lang w:eastAsia="en-US"/>
        </w:rPr>
        <w:t>Controls</w:t>
      </w:r>
      <w:proofErr w:type="spellEnd"/>
      <w:r w:rsidRPr="00190627">
        <w:rPr>
          <w:rFonts w:eastAsia="Calibri" w:cs="Segoe UI Light"/>
          <w:b/>
          <w:bCs/>
          <w:lang w:eastAsia="en-US"/>
        </w:rPr>
        <w:t> v8</w:t>
      </w:r>
      <w:r w:rsidRPr="00190627">
        <w:rPr>
          <w:rFonts w:eastAsia="Calibri" w:cs="Segoe UI Light"/>
          <w:lang w:eastAsia="en-US"/>
        </w:rPr>
        <w:t xml:space="preserve"> – referência priorizada de controles operacionais. </w:t>
      </w:r>
      <w:r w:rsidRPr="00190627">
        <w:rPr>
          <w:rFonts w:eastAsia="Calibri" w:cs="Segoe UI Light"/>
          <w:lang w:val="en-US" w:eastAsia="en-US"/>
        </w:rPr>
        <w:t xml:space="preserve">São </w:t>
      </w:r>
      <w:proofErr w:type="spellStart"/>
      <w:r w:rsidRPr="00190627">
        <w:rPr>
          <w:rFonts w:eastAsia="Calibri" w:cs="Segoe UI Light"/>
          <w:lang w:val="en-US" w:eastAsia="en-US"/>
        </w:rPr>
        <w:t>aplicados</w:t>
      </w:r>
      <w:proofErr w:type="spellEnd"/>
      <w:r w:rsidRPr="00190627">
        <w:rPr>
          <w:rFonts w:eastAsia="Calibri" w:cs="Segoe UI Light"/>
          <w:lang w:val="en-US" w:eastAsia="en-US"/>
        </w:rPr>
        <w:t xml:space="preserve"> </w:t>
      </w:r>
      <w:proofErr w:type="spellStart"/>
      <w:r w:rsidRPr="00190627">
        <w:rPr>
          <w:rFonts w:eastAsia="Calibri" w:cs="Segoe UI Light"/>
          <w:lang w:val="en-US" w:eastAsia="en-US"/>
        </w:rPr>
        <w:t>controles</w:t>
      </w:r>
      <w:proofErr w:type="spellEnd"/>
      <w:r w:rsidRPr="00190627">
        <w:rPr>
          <w:rFonts w:eastAsia="Calibri" w:cs="Segoe UI Light"/>
          <w:lang w:val="en-US" w:eastAsia="en-US"/>
        </w:rPr>
        <w:t xml:space="preserve"> </w:t>
      </w:r>
      <w:proofErr w:type="spellStart"/>
      <w:r w:rsidRPr="00190627">
        <w:rPr>
          <w:rFonts w:eastAsia="Calibri" w:cs="Segoe UI Light"/>
          <w:lang w:val="en-US" w:eastAsia="en-US"/>
        </w:rPr>
        <w:t>relevantes</w:t>
      </w:r>
      <w:proofErr w:type="spellEnd"/>
      <w:r w:rsidRPr="00190627">
        <w:rPr>
          <w:rFonts w:eastAsia="Calibri" w:cs="Segoe UI Light"/>
          <w:lang w:val="en-US" w:eastAsia="en-US"/>
        </w:rPr>
        <w:t xml:space="preserve"> para endpoints, </w:t>
      </w:r>
      <w:proofErr w:type="spellStart"/>
      <w:r w:rsidRPr="00190627">
        <w:rPr>
          <w:rFonts w:eastAsia="Calibri" w:cs="Segoe UI Light"/>
          <w:lang w:val="en-US" w:eastAsia="en-US"/>
        </w:rPr>
        <w:t>como</w:t>
      </w:r>
      <w:proofErr w:type="spellEnd"/>
      <w:r w:rsidRPr="00190627">
        <w:rPr>
          <w:rFonts w:eastAsia="Calibri" w:cs="Segoe UI Light"/>
          <w:lang w:val="en-US" w:eastAsia="en-US"/>
        </w:rPr>
        <w:t>:</w:t>
      </w:r>
    </w:p>
    <w:p w14:paraId="7C40F26E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val="en-US" w:eastAsia="en-US"/>
        </w:rPr>
      </w:pPr>
      <w:r w:rsidRPr="00190627">
        <w:rPr>
          <w:rFonts w:eastAsia="Calibri" w:cs="Segoe UI Light"/>
          <w:b/>
          <w:bCs/>
          <w:lang w:val="en-US" w:eastAsia="en-US"/>
        </w:rPr>
        <w:t>Control 4 – Secure Configuration of Enterprise Assets and Software</w:t>
      </w:r>
      <w:r w:rsidRPr="00190627">
        <w:rPr>
          <w:rFonts w:eastAsia="Calibri" w:cs="Segoe UI Light"/>
          <w:lang w:val="en-US" w:eastAsia="en-US"/>
        </w:rPr>
        <w:t xml:space="preserve">: hardening de </w:t>
      </w:r>
      <w:proofErr w:type="spellStart"/>
      <w:r w:rsidRPr="00190627">
        <w:rPr>
          <w:rFonts w:eastAsia="Calibri" w:cs="Segoe UI Light"/>
          <w:lang w:val="en-US" w:eastAsia="en-US"/>
        </w:rPr>
        <w:t>sistemas</w:t>
      </w:r>
      <w:proofErr w:type="spellEnd"/>
      <w:r w:rsidRPr="00190627">
        <w:rPr>
          <w:rFonts w:eastAsia="Calibri" w:cs="Segoe UI Light"/>
          <w:lang w:val="en-US" w:eastAsia="en-US"/>
        </w:rPr>
        <w:t xml:space="preserve"> </w:t>
      </w:r>
      <w:proofErr w:type="spellStart"/>
      <w:r w:rsidRPr="00190627">
        <w:rPr>
          <w:rFonts w:eastAsia="Calibri" w:cs="Segoe UI Light"/>
          <w:lang w:val="en-US" w:eastAsia="en-US"/>
        </w:rPr>
        <w:t>operacionais</w:t>
      </w:r>
      <w:proofErr w:type="spellEnd"/>
      <w:r w:rsidRPr="00190627">
        <w:rPr>
          <w:rFonts w:eastAsia="Calibri" w:cs="Segoe UI Light"/>
          <w:lang w:val="en-US" w:eastAsia="en-US"/>
        </w:rPr>
        <w:t xml:space="preserve">, </w:t>
      </w:r>
      <w:proofErr w:type="spellStart"/>
      <w:r w:rsidRPr="00190627">
        <w:rPr>
          <w:rFonts w:eastAsia="Calibri" w:cs="Segoe UI Light"/>
          <w:lang w:val="en-US" w:eastAsia="en-US"/>
        </w:rPr>
        <w:t>navegadores</w:t>
      </w:r>
      <w:proofErr w:type="spellEnd"/>
      <w:r w:rsidRPr="00190627">
        <w:rPr>
          <w:rFonts w:eastAsia="Calibri" w:cs="Segoe UI Light"/>
          <w:lang w:val="en-US" w:eastAsia="en-US"/>
        </w:rPr>
        <w:t xml:space="preserve"> e </w:t>
      </w:r>
      <w:proofErr w:type="spellStart"/>
      <w:proofErr w:type="gramStart"/>
      <w:r w:rsidRPr="00190627">
        <w:rPr>
          <w:rFonts w:eastAsia="Calibri" w:cs="Segoe UI Light"/>
          <w:lang w:val="en-US" w:eastAsia="en-US"/>
        </w:rPr>
        <w:t>aplicações</w:t>
      </w:r>
      <w:proofErr w:type="spellEnd"/>
      <w:r w:rsidRPr="00190627">
        <w:rPr>
          <w:rFonts w:eastAsia="Calibri" w:cs="Segoe UI Light"/>
          <w:lang w:val="en-US" w:eastAsia="en-US"/>
        </w:rPr>
        <w:t>;</w:t>
      </w:r>
      <w:proofErr w:type="gramEnd"/>
    </w:p>
    <w:p w14:paraId="62A16483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proofErr w:type="spellStart"/>
      <w:r w:rsidRPr="00190627">
        <w:rPr>
          <w:rFonts w:eastAsia="Calibri" w:cs="Segoe UI Light"/>
          <w:b/>
          <w:bCs/>
          <w:lang w:eastAsia="en-US"/>
        </w:rPr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 5 –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Account</w:t>
      </w:r>
      <w:proofErr w:type="spellEnd"/>
      <w:r w:rsidRPr="00190627">
        <w:rPr>
          <w:rFonts w:eastAsia="Calibri" w:cs="Segoe UI Light"/>
          <w:b/>
          <w:bCs/>
          <w:lang w:eastAsia="en-US"/>
        </w:rPr>
        <w:t> Management</w:t>
      </w:r>
      <w:r w:rsidRPr="00190627">
        <w:rPr>
          <w:rFonts w:eastAsia="Calibri" w:cs="Segoe UI Light"/>
          <w:lang w:eastAsia="en-US"/>
        </w:rPr>
        <w:t>: revisão de contas locais, aplicação de MFA e políticas de senha;</w:t>
      </w:r>
    </w:p>
    <w:p w14:paraId="6499EDD9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proofErr w:type="spellStart"/>
      <w:r w:rsidRPr="00190627">
        <w:rPr>
          <w:rFonts w:eastAsia="Calibri" w:cs="Segoe UI Light"/>
          <w:b/>
          <w:bCs/>
          <w:lang w:eastAsia="en-US"/>
        </w:rPr>
        <w:lastRenderedPageBreak/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 7 –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Continuous</w:t>
      </w:r>
      <w:proofErr w:type="spellEnd"/>
      <w:r w:rsidRPr="00190627">
        <w:rPr>
          <w:rFonts w:eastAsia="Calibri" w:cs="Segoe UI Light"/>
          <w:b/>
          <w:bCs/>
          <w:lang w:eastAsia="en-US"/>
        </w:rPr>
        <w:t> </w:t>
      </w:r>
      <w:proofErr w:type="spellStart"/>
      <w:r w:rsidRPr="00190627">
        <w:rPr>
          <w:rFonts w:eastAsia="Calibri" w:cs="Segoe UI Light"/>
          <w:b/>
          <w:bCs/>
          <w:lang w:eastAsia="en-US"/>
        </w:rPr>
        <w:t>Vulnerability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Management</w:t>
      </w:r>
      <w:r w:rsidRPr="00190627">
        <w:rPr>
          <w:rFonts w:eastAsia="Calibri" w:cs="Segoe UI Light"/>
          <w:lang w:eastAsia="en-US"/>
        </w:rPr>
        <w:t>: inventário de software, verificação de versões e correção de vulnerabilidades;</w:t>
      </w:r>
    </w:p>
    <w:p w14:paraId="00468C21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proofErr w:type="spellStart"/>
      <w:r w:rsidRPr="00190627">
        <w:rPr>
          <w:rFonts w:eastAsia="Calibri" w:cs="Segoe UI Light"/>
          <w:b/>
          <w:bCs/>
          <w:lang w:eastAsia="en-US"/>
        </w:rPr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 8 –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Audit</w:t>
      </w:r>
      <w:proofErr w:type="spellEnd"/>
      <w:r w:rsidRPr="00190627">
        <w:rPr>
          <w:rFonts w:eastAsia="Calibri" w:cs="Segoe UI Light"/>
          <w:b/>
          <w:bCs/>
          <w:lang w:eastAsia="en-US"/>
        </w:rPr>
        <w:t> Log Management</w:t>
      </w:r>
      <w:r w:rsidRPr="00190627">
        <w:rPr>
          <w:rFonts w:eastAsia="Calibri" w:cs="Segoe UI Light"/>
          <w:lang w:eastAsia="en-US"/>
        </w:rPr>
        <w:t>: habilitação de logs de segurança e integridade;</w:t>
      </w:r>
    </w:p>
    <w:p w14:paraId="2D7A8FDA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proofErr w:type="spellStart"/>
      <w:r w:rsidRPr="00190627">
        <w:rPr>
          <w:rFonts w:eastAsia="Calibri" w:cs="Segoe UI Light"/>
          <w:b/>
          <w:bCs/>
          <w:lang w:eastAsia="en-US"/>
        </w:rPr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> 9 – Email </w:t>
      </w:r>
      <w:proofErr w:type="spellStart"/>
      <w:r w:rsidRPr="00190627">
        <w:rPr>
          <w:rFonts w:eastAsia="Calibri" w:cs="Segoe UI Light"/>
          <w:b/>
          <w:bCs/>
          <w:lang w:eastAsia="en-US"/>
        </w:rPr>
        <w:t>and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Web Browser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Protections</w:t>
      </w:r>
      <w:proofErr w:type="spellEnd"/>
      <w:r w:rsidRPr="00190627">
        <w:rPr>
          <w:rFonts w:eastAsia="Calibri" w:cs="Segoe UI Light"/>
          <w:lang w:eastAsia="en-US"/>
        </w:rPr>
        <w:t>: bloqueio de anexos maliciosos, filtragem de URL e isolamento;</w:t>
      </w:r>
    </w:p>
    <w:p w14:paraId="51ED6B13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proofErr w:type="spellStart"/>
      <w:r w:rsidRPr="00190627">
        <w:rPr>
          <w:rFonts w:eastAsia="Calibri" w:cs="Segoe UI Light"/>
          <w:b/>
          <w:bCs/>
          <w:lang w:eastAsia="en-US"/>
        </w:rPr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> 12 – Network </w:t>
      </w:r>
      <w:proofErr w:type="spellStart"/>
      <w:r w:rsidRPr="00190627">
        <w:rPr>
          <w:rFonts w:eastAsia="Calibri" w:cs="Segoe UI Light"/>
          <w:b/>
          <w:bCs/>
          <w:lang w:eastAsia="en-US"/>
        </w:rPr>
        <w:t>Infrastructure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Management</w:t>
      </w:r>
      <w:r w:rsidRPr="00190627">
        <w:rPr>
          <w:rFonts w:eastAsia="Calibri" w:cs="Segoe UI Light"/>
          <w:lang w:eastAsia="en-US"/>
        </w:rPr>
        <w:t>: políticas de segmentação lógica e controle de acesso remoto.</w:t>
      </w:r>
    </w:p>
    <w:p w14:paraId="1C3187B4" w14:textId="77777777" w:rsidR="00D02B9A" w:rsidRPr="00190627" w:rsidRDefault="00D02B9A" w:rsidP="00190627">
      <w:pPr>
        <w:pStyle w:val="PargrafodaLista"/>
        <w:numPr>
          <w:ilvl w:val="0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NIST </w:t>
      </w:r>
      <w:proofErr w:type="spellStart"/>
      <w:r w:rsidRPr="00190627">
        <w:rPr>
          <w:rFonts w:eastAsia="Calibri" w:cs="Segoe UI Light"/>
          <w:b/>
          <w:bCs/>
          <w:lang w:eastAsia="en-US"/>
        </w:rPr>
        <w:t>Cybersecurity</w:t>
      </w:r>
      <w:proofErr w:type="spellEnd"/>
      <w:r w:rsidRPr="00190627">
        <w:rPr>
          <w:rFonts w:eastAsia="Calibri" w:cs="Segoe UI Light"/>
          <w:b/>
          <w:bCs/>
          <w:lang w:eastAsia="en-US"/>
        </w:rPr>
        <w:t> Framework 2.0</w:t>
      </w:r>
      <w:r w:rsidRPr="00190627">
        <w:rPr>
          <w:rFonts w:eastAsia="Calibri" w:cs="Segoe UI Light"/>
          <w:lang w:eastAsia="en-US"/>
        </w:rPr>
        <w:t xml:space="preserve"> – foco nos domínios relacionados à proteção de </w:t>
      </w:r>
      <w:proofErr w:type="spellStart"/>
      <w:r w:rsidRPr="00190627">
        <w:rPr>
          <w:rFonts w:eastAsia="Calibri" w:cs="Segoe UI Light"/>
          <w:lang w:eastAsia="en-US"/>
        </w:rPr>
        <w:t>endpoints</w:t>
      </w:r>
      <w:proofErr w:type="spellEnd"/>
      <w:r w:rsidRPr="00190627">
        <w:rPr>
          <w:rFonts w:eastAsia="Calibri" w:cs="Segoe UI Light"/>
          <w:lang w:eastAsia="en-US"/>
        </w:rPr>
        <w:t>:</w:t>
      </w:r>
    </w:p>
    <w:p w14:paraId="332FC907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ID.AM (</w:t>
      </w:r>
      <w:proofErr w:type="spellStart"/>
      <w:r w:rsidRPr="00190627">
        <w:rPr>
          <w:rFonts w:eastAsia="Calibri" w:cs="Segoe UI Light"/>
          <w:b/>
          <w:bCs/>
          <w:lang w:eastAsia="en-US"/>
        </w:rPr>
        <w:t>Asset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Management)</w:t>
      </w:r>
      <w:r w:rsidRPr="00190627">
        <w:rPr>
          <w:rFonts w:eastAsia="Calibri" w:cs="Segoe UI Light"/>
          <w:lang w:eastAsia="en-US"/>
        </w:rPr>
        <w:t xml:space="preserve"> – identificação e inventário de dispositivos, sistemas operacionais e versões de agentes;</w:t>
      </w:r>
    </w:p>
    <w:p w14:paraId="4B3FD3B4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 xml:space="preserve">PR.AC (Access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Control</w:t>
      </w:r>
      <w:proofErr w:type="spellEnd"/>
      <w:r w:rsidRPr="00190627">
        <w:rPr>
          <w:rFonts w:eastAsia="Calibri" w:cs="Segoe UI Light"/>
          <w:b/>
          <w:bCs/>
          <w:lang w:eastAsia="en-US"/>
        </w:rPr>
        <w:t>)</w:t>
      </w:r>
      <w:r w:rsidRPr="00190627">
        <w:rPr>
          <w:rFonts w:eastAsia="Calibri" w:cs="Segoe UI Light"/>
          <w:lang w:eastAsia="en-US"/>
        </w:rPr>
        <w:t xml:space="preserve"> – aplicação de princípios de menor privilégio, RBAC e MFA para usuários e administradores;</w:t>
      </w:r>
    </w:p>
    <w:p w14:paraId="6AA98923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PR.PT (</w:t>
      </w:r>
      <w:proofErr w:type="spellStart"/>
      <w:r w:rsidRPr="00190627">
        <w:rPr>
          <w:rFonts w:eastAsia="Calibri" w:cs="Segoe UI Light"/>
          <w:b/>
          <w:bCs/>
          <w:lang w:eastAsia="en-US"/>
        </w:rPr>
        <w:t>Protective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Technology)</w:t>
      </w:r>
      <w:r w:rsidRPr="00190627">
        <w:rPr>
          <w:rFonts w:eastAsia="Calibri" w:cs="Segoe UI Light"/>
          <w:lang w:eastAsia="en-US"/>
        </w:rPr>
        <w:t xml:space="preserve"> – implementação de EDR/XDR, controle de aplicações, criptografia e </w:t>
      </w:r>
      <w:proofErr w:type="spellStart"/>
      <w:r w:rsidRPr="00190627">
        <w:rPr>
          <w:rFonts w:eastAsia="Calibri" w:cs="Segoe UI Light"/>
          <w:i/>
          <w:iCs/>
          <w:lang w:eastAsia="en-US"/>
        </w:rPr>
        <w:t>application</w:t>
      </w:r>
      <w:proofErr w:type="spellEnd"/>
      <w:r w:rsidRPr="00190627">
        <w:rPr>
          <w:rFonts w:eastAsia="Calibri" w:cs="Segoe UI Light"/>
          <w:i/>
          <w:iCs/>
          <w:lang w:eastAsia="en-US"/>
        </w:rPr>
        <w:t xml:space="preserve"> </w:t>
      </w:r>
      <w:proofErr w:type="spellStart"/>
      <w:r w:rsidRPr="00190627">
        <w:rPr>
          <w:rFonts w:eastAsia="Calibri" w:cs="Segoe UI Light"/>
          <w:i/>
          <w:iCs/>
          <w:lang w:eastAsia="en-US"/>
        </w:rPr>
        <w:t>whitelisting</w:t>
      </w:r>
      <w:proofErr w:type="spellEnd"/>
      <w:r w:rsidRPr="00190627">
        <w:rPr>
          <w:rFonts w:eastAsia="Calibri" w:cs="Segoe UI Light"/>
          <w:lang w:eastAsia="en-US"/>
        </w:rPr>
        <w:t>;</w:t>
      </w:r>
    </w:p>
    <w:p w14:paraId="04FF0160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PR.MA (</w:t>
      </w:r>
      <w:proofErr w:type="spellStart"/>
      <w:r w:rsidRPr="00190627">
        <w:rPr>
          <w:rFonts w:eastAsia="Calibri" w:cs="Segoe UI Light"/>
          <w:b/>
          <w:bCs/>
          <w:lang w:eastAsia="en-US"/>
        </w:rPr>
        <w:t>Maintenance</w:t>
      </w:r>
      <w:proofErr w:type="spellEnd"/>
      <w:r w:rsidRPr="00190627">
        <w:rPr>
          <w:rFonts w:eastAsia="Calibri" w:cs="Segoe UI Light"/>
          <w:b/>
          <w:bCs/>
          <w:lang w:eastAsia="en-US"/>
        </w:rPr>
        <w:t>)</w:t>
      </w:r>
      <w:r w:rsidRPr="00190627">
        <w:rPr>
          <w:rFonts w:eastAsia="Calibri" w:cs="Segoe UI Light"/>
          <w:lang w:eastAsia="en-US"/>
        </w:rPr>
        <w:t xml:space="preserve"> – gestão de </w:t>
      </w:r>
      <w:r w:rsidRPr="00190627">
        <w:rPr>
          <w:rFonts w:eastAsia="Calibri" w:cs="Segoe UI Light"/>
          <w:i/>
          <w:iCs/>
          <w:lang w:eastAsia="en-US"/>
        </w:rPr>
        <w:t>patches</w:t>
      </w:r>
      <w:r w:rsidRPr="00190627">
        <w:rPr>
          <w:rFonts w:eastAsia="Calibri" w:cs="Segoe UI Light"/>
          <w:lang w:eastAsia="en-US"/>
        </w:rPr>
        <w:t xml:space="preserve"> e atualizações de firmware;</w:t>
      </w:r>
    </w:p>
    <w:p w14:paraId="45E46471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 xml:space="preserve">DE.CM (Security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Continuous</w:t>
      </w:r>
      <w:proofErr w:type="spellEnd"/>
      <w:r w:rsidRPr="00190627">
        <w:rPr>
          <w:rFonts w:eastAsia="Calibri" w:cs="Segoe UI Light"/>
          <w:b/>
          <w:bCs/>
          <w:lang w:eastAsia="en-US"/>
        </w:rPr>
        <w:t xml:space="preserve"> </w:t>
      </w:r>
      <w:proofErr w:type="spellStart"/>
      <w:r w:rsidRPr="00190627">
        <w:rPr>
          <w:rFonts w:eastAsia="Calibri" w:cs="Segoe UI Light"/>
          <w:b/>
          <w:bCs/>
          <w:lang w:eastAsia="en-US"/>
        </w:rPr>
        <w:t>Monitoring</w:t>
      </w:r>
      <w:proofErr w:type="spellEnd"/>
      <w:r w:rsidRPr="00190627">
        <w:rPr>
          <w:rFonts w:eastAsia="Calibri" w:cs="Segoe UI Light"/>
          <w:b/>
          <w:bCs/>
          <w:lang w:eastAsia="en-US"/>
        </w:rPr>
        <w:t>)</w:t>
      </w:r>
      <w:r w:rsidRPr="00190627">
        <w:rPr>
          <w:rFonts w:eastAsia="Calibri" w:cs="Segoe UI Light"/>
          <w:lang w:eastAsia="en-US"/>
        </w:rPr>
        <w:t xml:space="preserve"> – monitoramento contínuo de telemetria, detecção comportamental e anomalias;</w:t>
      </w:r>
    </w:p>
    <w:p w14:paraId="65EE0F1A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RS.MI (</w:t>
      </w:r>
      <w:proofErr w:type="spellStart"/>
      <w:r w:rsidRPr="00190627">
        <w:rPr>
          <w:rFonts w:eastAsia="Calibri" w:cs="Segoe UI Light"/>
          <w:b/>
          <w:bCs/>
          <w:lang w:eastAsia="en-US"/>
        </w:rPr>
        <w:t>Mitigation</w:t>
      </w:r>
      <w:proofErr w:type="spellEnd"/>
      <w:r w:rsidRPr="00190627">
        <w:rPr>
          <w:rFonts w:eastAsia="Calibri" w:cs="Segoe UI Light"/>
          <w:b/>
          <w:bCs/>
          <w:lang w:eastAsia="en-US"/>
        </w:rPr>
        <w:t>)</w:t>
      </w:r>
      <w:r w:rsidRPr="00190627">
        <w:rPr>
          <w:rFonts w:eastAsia="Calibri" w:cs="Segoe UI Light"/>
          <w:lang w:eastAsia="en-US"/>
        </w:rPr>
        <w:t xml:space="preserve"> – capacidade de resposta rápida e mitigação de incidentes nos </w:t>
      </w:r>
      <w:proofErr w:type="spellStart"/>
      <w:r w:rsidRPr="00190627">
        <w:rPr>
          <w:rFonts w:eastAsia="Calibri" w:cs="Segoe UI Light"/>
          <w:lang w:eastAsia="en-US"/>
        </w:rPr>
        <w:t>endpoints</w:t>
      </w:r>
      <w:proofErr w:type="spellEnd"/>
      <w:r w:rsidRPr="00190627">
        <w:rPr>
          <w:rFonts w:eastAsia="Calibri" w:cs="Segoe UI Light"/>
          <w:lang w:eastAsia="en-US"/>
        </w:rPr>
        <w:t>;</w:t>
      </w:r>
    </w:p>
    <w:p w14:paraId="78C6404B" w14:textId="77777777" w:rsidR="00D02B9A" w:rsidRPr="00190627" w:rsidRDefault="00D02B9A" w:rsidP="00190627">
      <w:pPr>
        <w:pStyle w:val="PargrafodaLista"/>
        <w:numPr>
          <w:ilvl w:val="1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GV (Governance)</w:t>
      </w:r>
      <w:r w:rsidRPr="00190627">
        <w:rPr>
          <w:rFonts w:eastAsia="Calibri" w:cs="Segoe UI Light"/>
          <w:lang w:eastAsia="en-US"/>
        </w:rPr>
        <w:t xml:space="preserve"> – políticas de uso, responsabilidades e critérios de conformidade.</w:t>
      </w:r>
    </w:p>
    <w:p w14:paraId="689D7401" w14:textId="77777777" w:rsidR="00D02B9A" w:rsidRPr="00190627" w:rsidRDefault="00D02B9A" w:rsidP="00190627">
      <w:pPr>
        <w:pStyle w:val="PargrafodaLista"/>
        <w:numPr>
          <w:ilvl w:val="0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SOC‑CMM</w:t>
      </w:r>
      <w:r w:rsidRPr="00190627">
        <w:rPr>
          <w:rFonts w:eastAsia="Calibri" w:cs="Segoe UI Light"/>
          <w:lang w:eastAsia="en-US"/>
        </w:rPr>
        <w:t xml:space="preserve"> – utilizado para avaliar maturidade de detecção e resposta, adaptado para a realidade de EDR/XDR.</w:t>
      </w:r>
    </w:p>
    <w:p w14:paraId="7B7846D1" w14:textId="77777777" w:rsidR="00D02B9A" w:rsidRPr="00190627" w:rsidRDefault="00D02B9A" w:rsidP="00190627">
      <w:pPr>
        <w:pStyle w:val="PargrafodaLista"/>
        <w:numPr>
          <w:ilvl w:val="0"/>
          <w:numId w:val="10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b/>
          <w:bCs/>
          <w:lang w:eastAsia="en-US"/>
        </w:rPr>
        <w:t>Referências regulatórias</w:t>
      </w:r>
      <w:r w:rsidRPr="00190627">
        <w:rPr>
          <w:rFonts w:eastAsia="Calibri" w:cs="Segoe UI Light"/>
          <w:lang w:eastAsia="en-US"/>
        </w:rPr>
        <w:t xml:space="preserve"> – </w:t>
      </w:r>
      <w:r w:rsidRPr="00190627">
        <w:rPr>
          <w:rFonts w:eastAsia="Calibri" w:cs="Segoe UI Light"/>
          <w:b/>
          <w:bCs/>
          <w:lang w:eastAsia="en-US"/>
        </w:rPr>
        <w:t>ISO 27001</w:t>
      </w:r>
      <w:r w:rsidRPr="00190627">
        <w:rPr>
          <w:rFonts w:eastAsia="Calibri" w:cs="Segoe UI Light"/>
          <w:lang w:eastAsia="en-US"/>
        </w:rPr>
        <w:t xml:space="preserve">, </w:t>
      </w:r>
      <w:r w:rsidRPr="00190627">
        <w:rPr>
          <w:rFonts w:eastAsia="Calibri" w:cs="Segoe UI Light"/>
          <w:b/>
          <w:bCs/>
          <w:lang w:eastAsia="en-US"/>
        </w:rPr>
        <w:t>LGPD</w:t>
      </w:r>
      <w:r w:rsidRPr="00190627">
        <w:rPr>
          <w:rFonts w:eastAsia="Calibri" w:cs="Segoe UI Light"/>
          <w:lang w:eastAsia="en-US"/>
        </w:rPr>
        <w:t xml:space="preserve"> e boas práticas de privacidade e proteção de dados.</w:t>
      </w:r>
    </w:p>
    <w:p w14:paraId="5041B4D0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1" w:name="_Toc212465399"/>
      <w:proofErr w:type="spellStart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Assesment</w:t>
      </w:r>
      <w:bookmarkEnd w:id="11"/>
      <w:proofErr w:type="spellEnd"/>
    </w:p>
    <w:p w14:paraId="03C27731" w14:textId="77777777" w:rsidR="00D02B9A" w:rsidRPr="00D02B9A" w:rsidRDefault="00D02B9A" w:rsidP="00D02B9A">
      <w:pPr>
        <w:numPr>
          <w:ilvl w:val="0"/>
          <w:numId w:val="5"/>
        </w:numPr>
        <w:spacing w:before="36" w:after="36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Coleta de informações</w:t>
      </w:r>
      <w:r w:rsidRPr="00D02B9A">
        <w:rPr>
          <w:rFonts w:eastAsia="Calibri" w:cs="Segoe UI Light"/>
          <w:lang w:eastAsia="en-US"/>
        </w:rPr>
        <w:t xml:space="preserve"> por meio de entrevistas, questionários e análises técnicas, buscando entender processos existentes, controles implementados, políticas e responsabilidades.</w:t>
      </w:r>
    </w:p>
    <w:p w14:paraId="56634E4B" w14:textId="77777777" w:rsidR="00D02B9A" w:rsidRPr="00D02B9A" w:rsidRDefault="00D02B9A" w:rsidP="00D02B9A">
      <w:pPr>
        <w:numPr>
          <w:ilvl w:val="0"/>
          <w:numId w:val="5"/>
        </w:numPr>
        <w:spacing w:before="36" w:after="36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Comparação entre modelo formal e modelo real</w:t>
      </w:r>
      <w:r w:rsidRPr="00D02B9A">
        <w:rPr>
          <w:rFonts w:eastAsia="Calibri" w:cs="Segoe UI Light"/>
          <w:lang w:eastAsia="en-US"/>
        </w:rPr>
        <w:t>, identificando discrepâncias entre o que está documentado e o que é executado.</w:t>
      </w:r>
    </w:p>
    <w:p w14:paraId="3ABF75A1" w14:textId="77777777" w:rsidR="00D02B9A" w:rsidRPr="00D02B9A" w:rsidRDefault="00D02B9A" w:rsidP="00D02B9A">
      <w:pPr>
        <w:numPr>
          <w:ilvl w:val="0"/>
          <w:numId w:val="5"/>
        </w:numPr>
        <w:spacing w:before="36" w:after="36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Diagnóstico técnico e estratégico</w:t>
      </w:r>
      <w:r w:rsidRPr="00D02B9A">
        <w:rPr>
          <w:rFonts w:eastAsia="Calibri" w:cs="Segoe UI Light"/>
          <w:lang w:eastAsia="en-US"/>
        </w:rPr>
        <w:t>, que servirá de base para a medição da maturidade, priorização de ações e definição dos marcos do ciclo.</w:t>
      </w:r>
    </w:p>
    <w:p w14:paraId="5E1067EB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2" w:name="_Toc212465400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Medição</w:t>
      </w:r>
      <w:bookmarkEnd w:id="12"/>
    </w:p>
    <w:p w14:paraId="366F98AF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Após a análise, é realizada a </w:t>
      </w:r>
      <w:r w:rsidRPr="00D02B9A">
        <w:rPr>
          <w:rFonts w:eastAsia="Calibri" w:cs="Segoe UI Light"/>
          <w:b/>
          <w:bCs/>
          <w:lang w:eastAsia="en-US"/>
        </w:rPr>
        <w:t>medição de maturidade</w:t>
      </w:r>
      <w:r w:rsidRPr="00D02B9A">
        <w:rPr>
          <w:rFonts w:eastAsia="Calibri" w:cs="Segoe UI Light"/>
          <w:lang w:eastAsia="en-US"/>
        </w:rPr>
        <w:t xml:space="preserve"> para traduzir achados qualitativos em valores quantitativos. O modelo </w:t>
      </w:r>
      <w:r w:rsidRPr="00D02B9A">
        <w:rPr>
          <w:rFonts w:eastAsia="Calibri" w:cs="Segoe UI Light"/>
          <w:b/>
          <w:bCs/>
          <w:lang w:eastAsia="en-US"/>
        </w:rPr>
        <w:t>SOC‑CMM</w:t>
      </w:r>
      <w:r w:rsidRPr="00D02B9A">
        <w:rPr>
          <w:rFonts w:eastAsia="Calibri" w:cs="Segoe UI Light"/>
          <w:lang w:eastAsia="en-US"/>
        </w:rPr>
        <w:t xml:space="preserve"> é aplicado com pontuação de 0 a 10 em seis níveis progressivos: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45"/>
        <w:gridCol w:w="4892"/>
        <w:gridCol w:w="789"/>
      </w:tblGrid>
      <w:tr w:rsidR="00D02B9A" w:rsidRPr="00D02B9A" w14:paraId="74D500DF" w14:textId="77777777" w:rsidTr="00D02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414424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Nível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4CE01FB9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Descrição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4D2DE5C8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Score </w:t>
            </w:r>
          </w:p>
        </w:tc>
      </w:tr>
      <w:tr w:rsidR="00D02B9A" w:rsidRPr="00D02B9A" w14:paraId="544D3A5B" w14:textId="77777777" w:rsidTr="00D02B9A">
        <w:tc>
          <w:tcPr>
            <w:tcW w:w="0" w:type="auto"/>
          </w:tcPr>
          <w:p w14:paraId="2A8F5556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 0 –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Inexistente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57C9947D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O controle não existe na organização </w:t>
            </w:r>
          </w:p>
        </w:tc>
        <w:tc>
          <w:tcPr>
            <w:tcW w:w="0" w:type="auto"/>
          </w:tcPr>
          <w:p w14:paraId="6B526DDA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0 </w:t>
            </w:r>
          </w:p>
        </w:tc>
      </w:tr>
      <w:tr w:rsidR="00D02B9A" w:rsidRPr="00D02B9A" w14:paraId="64C9C4BA" w14:textId="77777777" w:rsidTr="00D02B9A">
        <w:tc>
          <w:tcPr>
            <w:tcW w:w="0" w:type="auto"/>
          </w:tcPr>
          <w:p w14:paraId="31C4A022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 1 –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Inicial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 / Ad Hoc </w:t>
            </w:r>
          </w:p>
        </w:tc>
        <w:tc>
          <w:tcPr>
            <w:tcW w:w="0" w:type="auto"/>
          </w:tcPr>
          <w:p w14:paraId="5F40017B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Ações isoladas, reativas e não formalizadas </w:t>
            </w:r>
          </w:p>
        </w:tc>
        <w:tc>
          <w:tcPr>
            <w:tcW w:w="0" w:type="auto"/>
          </w:tcPr>
          <w:p w14:paraId="3585B050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2,5 </w:t>
            </w:r>
          </w:p>
        </w:tc>
      </w:tr>
      <w:tr w:rsidR="00D02B9A" w:rsidRPr="00D02B9A" w14:paraId="503E3C96" w14:textId="77777777" w:rsidTr="00D02B9A">
        <w:tc>
          <w:tcPr>
            <w:tcW w:w="0" w:type="auto"/>
          </w:tcPr>
          <w:p w14:paraId="2B8D0158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 2 –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Limitado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 /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Documentado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5B79446A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Políticas ou processos documentados, mas inconsistentes </w:t>
            </w:r>
          </w:p>
        </w:tc>
        <w:tc>
          <w:tcPr>
            <w:tcW w:w="0" w:type="auto"/>
          </w:tcPr>
          <w:p w14:paraId="5642803B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5 </w:t>
            </w:r>
          </w:p>
        </w:tc>
      </w:tr>
      <w:tr w:rsidR="00D02B9A" w:rsidRPr="00D02B9A" w14:paraId="6D8CBBA3" w14:textId="77777777" w:rsidTr="00D02B9A">
        <w:tc>
          <w:tcPr>
            <w:tcW w:w="0" w:type="auto"/>
          </w:tcPr>
          <w:p w14:paraId="7EA72892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 3 –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Definido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 /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Implementado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6DCC6053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Processos formalizados e aplicados de forma recorrente </w:t>
            </w:r>
          </w:p>
        </w:tc>
        <w:tc>
          <w:tcPr>
            <w:tcW w:w="0" w:type="auto"/>
          </w:tcPr>
          <w:p w14:paraId="54983096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7,5 </w:t>
            </w:r>
          </w:p>
        </w:tc>
      </w:tr>
      <w:tr w:rsidR="00D02B9A" w:rsidRPr="00D02B9A" w14:paraId="3C0A0838" w14:textId="77777777" w:rsidTr="00D02B9A">
        <w:tc>
          <w:tcPr>
            <w:tcW w:w="0" w:type="auto"/>
          </w:tcPr>
          <w:p w14:paraId="4B07518D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 4 –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Gerenciado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 xml:space="preserve"> / </w:t>
            </w:r>
            <w:proofErr w:type="spellStart"/>
            <w:r w:rsidRPr="00D02B9A">
              <w:rPr>
                <w:rFonts w:cs="Segoe UI Light"/>
                <w:sz w:val="16"/>
                <w:szCs w:val="16"/>
                <w:lang w:eastAsia="en-US"/>
              </w:rPr>
              <w:t>Monitorado</w:t>
            </w:r>
            <w:proofErr w:type="spellEnd"/>
            <w:r w:rsidRPr="00D02B9A">
              <w:rPr>
                <w:rFonts w:cs="Segoe UI Light"/>
                <w:sz w:val="16"/>
                <w:szCs w:val="16"/>
                <w:lang w:eastAsia="en-US"/>
              </w:rPr>
              <w:t> </w:t>
            </w:r>
          </w:p>
        </w:tc>
        <w:tc>
          <w:tcPr>
            <w:tcW w:w="0" w:type="auto"/>
          </w:tcPr>
          <w:p w14:paraId="72D07971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Processos medidos por KPIs e revisados periodicamente </w:t>
            </w:r>
          </w:p>
        </w:tc>
        <w:tc>
          <w:tcPr>
            <w:tcW w:w="0" w:type="auto"/>
          </w:tcPr>
          <w:p w14:paraId="42CFE17B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9 </w:t>
            </w:r>
          </w:p>
        </w:tc>
      </w:tr>
      <w:tr w:rsidR="00D02B9A" w:rsidRPr="00D02B9A" w14:paraId="1F1A0462" w14:textId="77777777" w:rsidTr="00D02B9A">
        <w:tc>
          <w:tcPr>
            <w:tcW w:w="0" w:type="auto"/>
          </w:tcPr>
          <w:p w14:paraId="67EA32B2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5 – Otimizado / Em melhoria contínua </w:t>
            </w:r>
          </w:p>
        </w:tc>
        <w:tc>
          <w:tcPr>
            <w:tcW w:w="0" w:type="auto"/>
          </w:tcPr>
          <w:p w14:paraId="1EA7B527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val="pt-BR" w:eastAsia="en-US"/>
              </w:rPr>
            </w:pPr>
            <w:r w:rsidRPr="00D02B9A">
              <w:rPr>
                <w:rFonts w:cs="Segoe UI Light"/>
                <w:sz w:val="16"/>
                <w:szCs w:val="16"/>
                <w:lang w:val="pt-BR" w:eastAsia="en-US"/>
              </w:rPr>
              <w:t> Controles aprimorados por automação e inovação </w:t>
            </w:r>
          </w:p>
        </w:tc>
        <w:tc>
          <w:tcPr>
            <w:tcW w:w="0" w:type="auto"/>
          </w:tcPr>
          <w:p w14:paraId="22DD4E85" w14:textId="77777777" w:rsidR="00D02B9A" w:rsidRPr="00D02B9A" w:rsidRDefault="00D02B9A" w:rsidP="00D02B9A">
            <w:pPr>
              <w:spacing w:before="36" w:after="36"/>
              <w:rPr>
                <w:rFonts w:cs="Segoe UI Light"/>
                <w:sz w:val="16"/>
                <w:szCs w:val="16"/>
                <w:lang w:eastAsia="en-US"/>
              </w:rPr>
            </w:pPr>
            <w:r w:rsidRPr="00D02B9A">
              <w:rPr>
                <w:rFonts w:cs="Segoe UI Light"/>
                <w:sz w:val="16"/>
                <w:szCs w:val="16"/>
                <w:lang w:eastAsia="en-US"/>
              </w:rPr>
              <w:t> 10 </w:t>
            </w:r>
          </w:p>
        </w:tc>
      </w:tr>
    </w:tbl>
    <w:p w14:paraId="4426E2B1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color w:val="215E99" w:themeColor="text2" w:themeTint="BF"/>
          <w:sz w:val="32"/>
          <w:szCs w:val="32"/>
          <w:lang w:eastAsia="en-US"/>
        </w:rPr>
      </w:pPr>
      <w:r w:rsidRPr="00D02B9A">
        <w:rPr>
          <w:rFonts w:eastAsia="Calibri" w:cs="Segoe UI Light"/>
          <w:color w:val="215E99" w:themeColor="text2" w:themeTint="BF"/>
          <w:sz w:val="32"/>
          <w:szCs w:val="32"/>
          <w:lang w:eastAsia="en-US"/>
        </w:rPr>
        <w:t xml:space="preserve">Modelo de medição CMMI </w:t>
      </w:r>
      <w:proofErr w:type="spellStart"/>
      <w:r w:rsidRPr="00D02B9A">
        <w:rPr>
          <w:rFonts w:eastAsia="Calibri" w:cs="Segoe UI Light"/>
          <w:color w:val="215E99" w:themeColor="text2" w:themeTint="BF"/>
          <w:sz w:val="32"/>
          <w:szCs w:val="32"/>
          <w:lang w:eastAsia="en-US"/>
        </w:rPr>
        <w:t>adapdato</w:t>
      </w:r>
      <w:proofErr w:type="spellEnd"/>
      <w:r w:rsidRPr="00D02B9A">
        <w:rPr>
          <w:rFonts w:eastAsia="Calibri" w:cs="Segoe UI Light"/>
          <w:color w:val="215E99" w:themeColor="text2" w:themeTint="BF"/>
          <w:sz w:val="32"/>
          <w:szCs w:val="32"/>
          <w:lang w:eastAsia="en-US"/>
        </w:rPr>
        <w:t xml:space="preserve"> para </w:t>
      </w:r>
      <w:proofErr w:type="spellStart"/>
      <w:r w:rsidRPr="00D02B9A">
        <w:rPr>
          <w:rFonts w:eastAsia="Calibri" w:cs="Segoe UI Light"/>
          <w:color w:val="215E99" w:themeColor="text2" w:themeTint="BF"/>
          <w:sz w:val="32"/>
          <w:szCs w:val="32"/>
          <w:lang w:eastAsia="en-US"/>
        </w:rPr>
        <w:t>Endpoint</w:t>
      </w:r>
      <w:proofErr w:type="spellEnd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7"/>
        <w:gridCol w:w="7938"/>
        <w:gridCol w:w="567"/>
      </w:tblGrid>
      <w:tr w:rsidR="00D02B9A" w:rsidRPr="00D02B9A" w14:paraId="34755839" w14:textId="77777777" w:rsidTr="00D02B9A">
        <w:trPr>
          <w:trHeight w:val="262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2D377E5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Nível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5AB4CA2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Descrição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7A79E6C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Nota</w:t>
            </w:r>
          </w:p>
        </w:tc>
      </w:tr>
      <w:tr w:rsidR="00D02B9A" w:rsidRPr="00D02B9A" w14:paraId="02240AAC" w14:textId="77777777" w:rsidTr="00D02B9A">
        <w:trPr>
          <w:trHeight w:val="1072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4C64506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0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552A124" w14:textId="77777777" w:rsidR="00D02B9A" w:rsidRPr="00D02B9A" w:rsidRDefault="00D02B9A" w:rsidP="00D02B9A">
            <w:pPr>
              <w:spacing w:before="0" w:after="160" w:line="278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 xml:space="preserve">Não há qualquer controle efetivo sobre os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endpoints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>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Ferramentas de segurança não estão implementadas. </w:t>
            </w:r>
            <w:r w:rsidRPr="00D02B9A">
              <w:rPr>
                <w:rFonts w:eastAsia="Calibri" w:cs="Times New Roman"/>
                <w:lang w:eastAsia="en-US"/>
              </w:rPr>
              <w:br/>
              <w:t>- Dispositivos operam sem políticas mínimas de proteção.</w:t>
            </w:r>
            <w:r w:rsidRPr="00D02B9A">
              <w:rPr>
                <w:rFonts w:eastAsia="Calibri" w:cs="Times New Roman"/>
                <w:lang w:eastAsia="en-US"/>
              </w:rPr>
              <w:br/>
              <w:t>- Riscos não são conhecidos ou tratados.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DFCB121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0</w:t>
            </w:r>
          </w:p>
        </w:tc>
      </w:tr>
      <w:tr w:rsidR="00D02B9A" w:rsidRPr="00D02B9A" w14:paraId="68FD5755" w14:textId="77777777" w:rsidTr="00D02B9A">
        <w:trPr>
          <w:trHeight w:val="891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BBA0721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1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AB061FE" w14:textId="77777777" w:rsidR="00D02B9A" w:rsidRPr="00D02B9A" w:rsidRDefault="00D02B9A" w:rsidP="00D02B9A">
            <w:pPr>
              <w:spacing w:before="0" w:after="160" w:line="278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>Controles são implementados de forma reativa e desorganizada.</w:t>
            </w:r>
            <w:r w:rsidRPr="00D02B9A">
              <w:rPr>
                <w:rFonts w:eastAsia="Calibri" w:cs="Times New Roman"/>
                <w:lang w:eastAsia="en-US"/>
              </w:rPr>
              <w:br/>
              <w:t>- Ações ocorrem somente após incidentes ou exigências externas.</w:t>
            </w:r>
            <w:r w:rsidRPr="00D02B9A">
              <w:rPr>
                <w:rFonts w:eastAsia="Calibri" w:cs="Times New Roman"/>
                <w:lang w:eastAsia="en-US"/>
              </w:rPr>
              <w:br/>
              <w:t>- Ferramentas podem existir, mas são mal configuradas ou inativas.</w:t>
            </w:r>
            <w:r w:rsidRPr="00D02B9A">
              <w:rPr>
                <w:rFonts w:eastAsia="Calibri" w:cs="Times New Roman"/>
                <w:lang w:eastAsia="en-US"/>
              </w:rPr>
              <w:br/>
              <w:t>- Não há padronização ou supervisão.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BAC386D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2,5</w:t>
            </w:r>
          </w:p>
        </w:tc>
      </w:tr>
      <w:tr w:rsidR="00D02B9A" w:rsidRPr="00D02B9A" w14:paraId="5F71D63D" w14:textId="77777777" w:rsidTr="00D02B9A">
        <w:trPr>
          <w:trHeight w:val="908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A0C3863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lastRenderedPageBreak/>
              <w:t>2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1DC0602" w14:textId="77777777" w:rsidR="00D02B9A" w:rsidRPr="00D02B9A" w:rsidRDefault="00D02B9A" w:rsidP="00D02B9A">
            <w:pPr>
              <w:spacing w:before="0" w:after="160" w:line="278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>Controles básicos estão documentados e aplicados de forma consistente.</w:t>
            </w:r>
            <w:r w:rsidRPr="00D02B9A">
              <w:rPr>
                <w:rFonts w:eastAsia="Calibri" w:cs="Times New Roman"/>
                <w:lang w:eastAsia="en-US"/>
              </w:rPr>
              <w:br/>
              <w:t>- Ferramentas de proteção (como antivírus e firewall) são implantadas em todos os dispositivos.</w:t>
            </w:r>
            <w:r w:rsidRPr="00D02B9A">
              <w:rPr>
                <w:rFonts w:eastAsia="Calibri" w:cs="Times New Roman"/>
                <w:lang w:eastAsia="en-US"/>
              </w:rPr>
              <w:br/>
              <w:t>- Há procedimentos operacionais mínimos para instalação, atualização e resposta a incidentes.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Inventário de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endpoints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é mantido, mesmo que parcialmente manual.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0DF3E9D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5</w:t>
            </w:r>
          </w:p>
        </w:tc>
      </w:tr>
      <w:tr w:rsidR="00D02B9A" w:rsidRPr="00D02B9A" w14:paraId="6CBB27A7" w14:textId="77777777" w:rsidTr="00D02B9A">
        <w:trPr>
          <w:trHeight w:val="1482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D34CDC2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3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DC65F05" w14:textId="77777777" w:rsidR="00D02B9A" w:rsidRPr="00D02B9A" w:rsidRDefault="00D02B9A" w:rsidP="00D02B9A">
            <w:pPr>
              <w:spacing w:before="0" w:after="160" w:line="278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>Políticas, padrões e processos são formalizados e amplamente aplicados.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Existência de política de segurança para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endpoints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aprovada e disseminada.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Ferramentas de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(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ex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>: EDR, DLP) são padronizadas e integradas à infraestrutura de TI.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Processos de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onboarding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>/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offboarding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de dispositivos são seguidos sistematicamente.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E3830F7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7,5</w:t>
            </w:r>
          </w:p>
        </w:tc>
      </w:tr>
      <w:tr w:rsidR="00D02B9A" w:rsidRPr="00D02B9A" w14:paraId="52CAB02E" w14:textId="77777777" w:rsidTr="00D02B9A">
        <w:trPr>
          <w:trHeight w:val="805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2ED2D26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4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FE9F1D5" w14:textId="77777777" w:rsidR="00D02B9A" w:rsidRPr="00D02B9A" w:rsidRDefault="00D02B9A" w:rsidP="00D02B9A">
            <w:pPr>
              <w:spacing w:before="0" w:after="160" w:line="278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 xml:space="preserve">O desempenho dos controles de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é medido, monitorado e analisado.</w:t>
            </w:r>
            <w:r w:rsidRPr="00D02B9A">
              <w:rPr>
                <w:rFonts w:eastAsia="Calibri" w:cs="Times New Roman"/>
                <w:lang w:eastAsia="en-US"/>
              </w:rPr>
              <w:br/>
              <w:t>- Indicadores de eficácia (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ex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>: taxa de detecção, tempo de resposta) são coletados e revisados periodicamente.</w:t>
            </w:r>
            <w:r w:rsidRPr="00D02B9A">
              <w:rPr>
                <w:rFonts w:eastAsia="Calibri" w:cs="Times New Roman"/>
                <w:lang w:eastAsia="en-US"/>
              </w:rPr>
              <w:br/>
              <w:t>- Uso de dashboards para análise de cobertura, conformidade e incidentes.</w:t>
            </w:r>
            <w:r w:rsidRPr="00D02B9A">
              <w:rPr>
                <w:rFonts w:eastAsia="Calibri" w:cs="Times New Roman"/>
                <w:lang w:eastAsia="en-US"/>
              </w:rPr>
              <w:br/>
              <w:t>- A gestão é baseada em dados e tomada de decisão orientada por métricas.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CEF48DB" w14:textId="77777777" w:rsidR="00D02B9A" w:rsidRPr="00D02B9A" w:rsidRDefault="00D02B9A" w:rsidP="00D02B9A">
            <w:pPr>
              <w:spacing w:before="0" w:after="160" w:line="278" w:lineRule="auto"/>
              <w:jc w:val="center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9</w:t>
            </w:r>
          </w:p>
        </w:tc>
      </w:tr>
      <w:tr w:rsidR="00D02B9A" w:rsidRPr="00D02B9A" w14:paraId="576D878B" w14:textId="77777777" w:rsidTr="00D02B9A">
        <w:trPr>
          <w:trHeight w:val="805"/>
        </w:trPr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4D5BE82" w14:textId="77777777" w:rsidR="00D02B9A" w:rsidRPr="00D02B9A" w:rsidRDefault="00D02B9A" w:rsidP="00D02B9A">
            <w:pPr>
              <w:spacing w:before="0" w:after="160" w:line="259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5</w:t>
            </w:r>
          </w:p>
        </w:tc>
        <w:tc>
          <w:tcPr>
            <w:tcW w:w="7938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6FA6D59" w14:textId="77777777" w:rsidR="00D02B9A" w:rsidRPr="00D02B9A" w:rsidRDefault="00D02B9A" w:rsidP="00D02B9A">
            <w:pPr>
              <w:spacing w:before="0" w:after="160" w:line="259" w:lineRule="auto"/>
              <w:rPr>
                <w:rFonts w:eastAsia="Calibri" w:cs="Times New Roman"/>
                <w:lang w:eastAsia="en-US"/>
              </w:rPr>
            </w:pPr>
            <w:r w:rsidRPr="00D02B9A">
              <w:rPr>
                <w:rFonts w:eastAsia="Calibri" w:cs="Times New Roman"/>
                <w:lang w:eastAsia="en-US"/>
              </w:rPr>
              <w:t>Melhoria contínua sustentada por métricas avançadas, automação e inteligência.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Processos de proteção de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endpoints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são adaptativos e em constante evolução.</w:t>
            </w:r>
            <w:r w:rsidRPr="00D02B9A">
              <w:rPr>
                <w:rFonts w:eastAsia="Calibri" w:cs="Times New Roman"/>
                <w:lang w:eastAsia="en-US"/>
              </w:rPr>
              <w:br/>
              <w:t>- Integração com SIEM, SOAR e outras plataformas de segurança para resposta automatizada.</w:t>
            </w:r>
            <w:r w:rsidRPr="00D02B9A">
              <w:rPr>
                <w:rFonts w:eastAsia="Calibri" w:cs="Times New Roman"/>
                <w:lang w:eastAsia="en-US"/>
              </w:rPr>
              <w:br/>
              <w:t xml:space="preserve">- Uso de inteligência artificial, machine learning e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threat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</w:t>
            </w:r>
            <w:proofErr w:type="spellStart"/>
            <w:r w:rsidRPr="00D02B9A">
              <w:rPr>
                <w:rFonts w:eastAsia="Calibri" w:cs="Times New Roman"/>
                <w:lang w:eastAsia="en-US"/>
              </w:rPr>
              <w:t>intelligence</w:t>
            </w:r>
            <w:proofErr w:type="spellEnd"/>
            <w:r w:rsidRPr="00D02B9A">
              <w:rPr>
                <w:rFonts w:eastAsia="Calibri" w:cs="Times New Roman"/>
                <w:lang w:eastAsia="en-US"/>
              </w:rPr>
              <w:t xml:space="preserve"> para antecipação de ameaças.</w:t>
            </w:r>
          </w:p>
        </w:tc>
        <w:tc>
          <w:tcPr>
            <w:tcW w:w="567" w:type="dxa"/>
            <w:shd w:val="clear" w:color="auto" w:fill="FFFFFF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041CD4A" w14:textId="77777777" w:rsidR="00D02B9A" w:rsidRPr="00D02B9A" w:rsidRDefault="00D02B9A" w:rsidP="00D02B9A">
            <w:pPr>
              <w:spacing w:before="0" w:after="160" w:line="259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D02B9A">
              <w:rPr>
                <w:rFonts w:eastAsia="Calibri" w:cs="Times New Roman"/>
                <w:b/>
                <w:bCs/>
                <w:lang w:eastAsia="en-US"/>
              </w:rPr>
              <w:t>10</w:t>
            </w:r>
          </w:p>
        </w:tc>
      </w:tr>
    </w:tbl>
    <w:p w14:paraId="1FF5BC69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b/>
          <w:bCs/>
          <w:lang w:eastAsia="en-US"/>
        </w:rPr>
      </w:pPr>
    </w:p>
    <w:p w14:paraId="3149C49D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Evidências e validação:</w:t>
      </w:r>
      <w:r w:rsidRPr="00D02B9A">
        <w:rPr>
          <w:rFonts w:eastAsia="Calibri" w:cs="Segoe UI Light"/>
          <w:lang w:eastAsia="en-US"/>
        </w:rPr>
        <w:t xml:space="preserve"> a atribuição de score depende de evidências práticas, como políticas, registros de tickets, dashboards e auditorias. Cada nível requer comprovação correspondente.</w:t>
      </w:r>
    </w:p>
    <w:p w14:paraId="760884E9" w14:textId="77777777" w:rsidR="00D02B9A" w:rsidRPr="00D02B9A" w:rsidRDefault="00D02B9A" w:rsidP="00D02B9A">
      <w:pPr>
        <w:spacing w:before="0" w:after="120" w:line="259" w:lineRule="auto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Resultado da medição:</w:t>
      </w:r>
    </w:p>
    <w:p w14:paraId="3FDFE298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Pontuação de maturidade por controle, com justificativas e evidências;</w:t>
      </w:r>
    </w:p>
    <w:p w14:paraId="0B04B61E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Visão consolidada por domínio para identificar áreas críticas e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quick‑wins</w:t>
      </w:r>
      <w:proofErr w:type="spellEnd"/>
      <w:r w:rsidRPr="00D02B9A">
        <w:rPr>
          <w:rFonts w:eastAsia="Calibri" w:cs="Segoe UI Light"/>
          <w:lang w:eastAsia="en-US"/>
        </w:rPr>
        <w:t>;</w:t>
      </w:r>
    </w:p>
    <w:p w14:paraId="4ECB48A8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Linha de base de maturidade para o trimestre, usada para definir os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OKRs</w:t>
      </w:r>
      <w:proofErr w:type="spellEnd"/>
      <w:r w:rsidRPr="00D02B9A">
        <w:rPr>
          <w:rFonts w:eastAsia="Calibri" w:cs="Segoe UI Light"/>
          <w:lang w:eastAsia="en-US"/>
        </w:rPr>
        <w:t xml:space="preserve"> do próximo ciclo.</w:t>
      </w:r>
    </w:p>
    <w:p w14:paraId="67AF31DE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3" w:name="_Toc212465401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Planejamento</w:t>
      </w:r>
      <w:bookmarkEnd w:id="13"/>
    </w:p>
    <w:p w14:paraId="4718ED83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bookmarkStart w:id="14" w:name="_Toc153823895"/>
      <w:bookmarkStart w:id="15" w:name="_Toc176337693"/>
      <w:r w:rsidRPr="00D02B9A">
        <w:rPr>
          <w:rFonts w:eastAsia="Calibri" w:cs="Segoe UI Light"/>
          <w:lang w:eastAsia="en-US"/>
        </w:rPr>
        <w:t xml:space="preserve">Com base nos resultados de análise e medição, a equipe elabora um </w:t>
      </w:r>
      <w:r w:rsidRPr="00D02B9A">
        <w:rPr>
          <w:rFonts w:eastAsia="Calibri" w:cs="Segoe UI Light"/>
          <w:b/>
          <w:bCs/>
          <w:lang w:eastAsia="en-US"/>
        </w:rPr>
        <w:t>plano de ação</w:t>
      </w:r>
      <w:r w:rsidRPr="00D02B9A">
        <w:rPr>
          <w:rFonts w:eastAsia="Calibri" w:cs="Segoe UI Light"/>
          <w:lang w:eastAsia="en-US"/>
        </w:rPr>
        <w:t xml:space="preserve"> priorizado. O principal critério é a identificação de </w:t>
      </w:r>
      <w:r w:rsidRPr="00D02B9A">
        <w:rPr>
          <w:rFonts w:eastAsia="Calibri" w:cs="Segoe UI Light"/>
          <w:b/>
          <w:bCs/>
          <w:lang w:eastAsia="en-US"/>
        </w:rPr>
        <w:t>Quick‑</w:t>
      </w:r>
      <w:proofErr w:type="spellStart"/>
      <w:r w:rsidRPr="00D02B9A">
        <w:rPr>
          <w:rFonts w:eastAsia="Calibri" w:cs="Segoe UI Light"/>
          <w:b/>
          <w:bCs/>
          <w:lang w:eastAsia="en-US"/>
        </w:rPr>
        <w:t>Wins</w:t>
      </w:r>
      <w:proofErr w:type="spellEnd"/>
      <w:r w:rsidRPr="00D02B9A">
        <w:rPr>
          <w:rFonts w:eastAsia="Calibri" w:cs="Segoe UI Light"/>
          <w:lang w:eastAsia="en-US"/>
        </w:rPr>
        <w:t>, ações de alto impacto e baixa complexidade, tais como:</w:t>
      </w:r>
    </w:p>
    <w:p w14:paraId="225C8898" w14:textId="77777777" w:rsidR="00D02B9A" w:rsidRPr="00190627" w:rsidRDefault="00D02B9A" w:rsidP="00190627">
      <w:pPr>
        <w:pStyle w:val="PargrafodaLista"/>
        <w:numPr>
          <w:ilvl w:val="0"/>
          <w:numId w:val="13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lang w:eastAsia="en-US"/>
        </w:rPr>
        <w:t>Correções simples em processos críticos (p.ex., ajustar políticas de bloqueio de dispositivos USB);</w:t>
      </w:r>
    </w:p>
    <w:p w14:paraId="52F0E611" w14:textId="77777777" w:rsidR="00D02B9A" w:rsidRPr="00190627" w:rsidRDefault="00D02B9A" w:rsidP="00190627">
      <w:pPr>
        <w:pStyle w:val="PargrafodaLista"/>
        <w:numPr>
          <w:ilvl w:val="0"/>
          <w:numId w:val="13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lang w:eastAsia="en-US"/>
        </w:rPr>
        <w:t xml:space="preserve">Ativação de funcionalidades de EDR desativadas ou subutilizadas (p.ex., </w:t>
      </w:r>
      <w:proofErr w:type="spellStart"/>
      <w:r w:rsidRPr="00190627">
        <w:rPr>
          <w:rFonts w:eastAsia="Calibri" w:cs="Segoe UI Light"/>
          <w:lang w:eastAsia="en-US"/>
        </w:rPr>
        <w:t>sandboxing</w:t>
      </w:r>
      <w:proofErr w:type="spellEnd"/>
      <w:r w:rsidRPr="00190627">
        <w:rPr>
          <w:rFonts w:eastAsia="Calibri" w:cs="Segoe UI Light"/>
          <w:lang w:eastAsia="en-US"/>
        </w:rPr>
        <w:t xml:space="preserve"> ou controle de aplicativos);</w:t>
      </w:r>
    </w:p>
    <w:p w14:paraId="7EB6F283" w14:textId="77777777" w:rsidR="00D02B9A" w:rsidRPr="00190627" w:rsidRDefault="00D02B9A" w:rsidP="00190627">
      <w:pPr>
        <w:pStyle w:val="PargrafodaLista"/>
        <w:numPr>
          <w:ilvl w:val="0"/>
          <w:numId w:val="13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lang w:eastAsia="en-US"/>
        </w:rPr>
        <w:t xml:space="preserve">Atualização ou </w:t>
      </w:r>
      <w:proofErr w:type="spellStart"/>
      <w:r w:rsidRPr="00190627">
        <w:rPr>
          <w:rFonts w:eastAsia="Calibri" w:cs="Segoe UI Light"/>
          <w:i/>
          <w:iCs/>
          <w:lang w:eastAsia="en-US"/>
        </w:rPr>
        <w:t>hardening</w:t>
      </w:r>
      <w:proofErr w:type="spellEnd"/>
      <w:r w:rsidRPr="00190627">
        <w:rPr>
          <w:rFonts w:eastAsia="Calibri" w:cs="Segoe UI Light"/>
          <w:lang w:eastAsia="en-US"/>
        </w:rPr>
        <w:t xml:space="preserve"> de configurações do sistema operacional conforme CIS Benchmarks;</w:t>
      </w:r>
    </w:p>
    <w:p w14:paraId="4B8291B6" w14:textId="77777777" w:rsidR="00D02B9A" w:rsidRPr="00190627" w:rsidRDefault="00D02B9A" w:rsidP="00190627">
      <w:pPr>
        <w:pStyle w:val="PargrafodaLista"/>
        <w:numPr>
          <w:ilvl w:val="0"/>
          <w:numId w:val="13"/>
        </w:numPr>
        <w:spacing w:before="36" w:after="36" w:line="259" w:lineRule="auto"/>
        <w:jc w:val="both"/>
        <w:rPr>
          <w:rFonts w:eastAsia="Calibri" w:cs="Segoe UI Light"/>
          <w:lang w:eastAsia="en-US"/>
        </w:rPr>
      </w:pPr>
      <w:r w:rsidRPr="00190627">
        <w:rPr>
          <w:rFonts w:eastAsia="Calibri" w:cs="Segoe UI Light"/>
          <w:lang w:eastAsia="en-US"/>
        </w:rPr>
        <w:t>Formalização de processos informais de tratamento de incidentes ou aplicação de patches.</w:t>
      </w:r>
    </w:p>
    <w:p w14:paraId="6B1CD259" w14:textId="77777777" w:rsidR="00D02B9A" w:rsidRPr="00D02B9A" w:rsidRDefault="00D02B9A" w:rsidP="00D02B9A">
      <w:pPr>
        <w:spacing w:before="180" w:after="180"/>
        <w:jc w:val="both"/>
        <w:rPr>
          <w:rFonts w:eastAsia="Calibri" w:cs="Times New Roman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Além dos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quick‑wins</w:t>
      </w:r>
      <w:proofErr w:type="spellEnd"/>
      <w:r w:rsidRPr="00D02B9A">
        <w:rPr>
          <w:rFonts w:eastAsia="Calibri" w:cs="Segoe UI Light"/>
          <w:lang w:eastAsia="en-US"/>
        </w:rPr>
        <w:t xml:space="preserve">, podem ser planejadas ações de médio e longo prazo, sempre alinhadas à capacidade operacional e à estratégia de negócios do cliente. O planejamento inclui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OKRs</w:t>
      </w:r>
      <w:proofErr w:type="spellEnd"/>
      <w:r w:rsidRPr="00D02B9A">
        <w:rPr>
          <w:rFonts w:eastAsia="Calibri" w:cs="Segoe UI Light"/>
          <w:b/>
          <w:bCs/>
          <w:lang w:eastAsia="en-US"/>
        </w:rPr>
        <w:t xml:space="preserve"> S.M.A.R.T.</w:t>
      </w:r>
      <w:r w:rsidRPr="00D02B9A">
        <w:rPr>
          <w:rFonts w:eastAsia="Calibri" w:cs="Segoe UI Light"/>
          <w:lang w:eastAsia="en-US"/>
        </w:rPr>
        <w:t xml:space="preserve"> (específicos, mensuráveis, atingíveis, relevantes e temporais), definição de </w:t>
      </w:r>
      <w:proofErr w:type="spellStart"/>
      <w:r w:rsidRPr="00D02B9A">
        <w:rPr>
          <w:rFonts w:eastAsia="Calibri" w:cs="Segoe UI Light"/>
          <w:lang w:eastAsia="en-US"/>
        </w:rPr>
        <w:t>roadmap</w:t>
      </w:r>
      <w:proofErr w:type="spellEnd"/>
      <w:r w:rsidRPr="00D02B9A">
        <w:rPr>
          <w:rFonts w:eastAsia="Calibri" w:cs="Segoe UI Light"/>
          <w:lang w:eastAsia="en-US"/>
        </w:rPr>
        <w:t xml:space="preserve"> técnico, backlog priorizado e alinhamento com processos de GMUD, gestão de mudanças e de segurança da informação.</w:t>
      </w:r>
    </w:p>
    <w:p w14:paraId="4BBE9B5D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6" w:name="_Toc212465402"/>
      <w:bookmarkStart w:id="17" w:name="etapa-de-apresentação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Etapa de Apresentação</w:t>
      </w:r>
      <w:bookmarkEnd w:id="16"/>
    </w:p>
    <w:p w14:paraId="6A5B2283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Na reunião de </w:t>
      </w:r>
      <w:r w:rsidRPr="00D02B9A">
        <w:rPr>
          <w:rFonts w:eastAsia="Calibri" w:cs="Segoe UI Light"/>
          <w:b/>
          <w:bCs/>
          <w:lang w:eastAsia="en-US"/>
        </w:rPr>
        <w:t>QBR</w:t>
      </w:r>
      <w:r w:rsidRPr="00D02B9A">
        <w:rPr>
          <w:rFonts w:eastAsia="Calibri" w:cs="Segoe UI Light"/>
          <w:lang w:eastAsia="en-US"/>
        </w:rPr>
        <w:t>, a equipe Solo Iron apresenta aos stakeholders:</w:t>
      </w:r>
    </w:p>
    <w:p w14:paraId="4547F2BA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Score de maturidade atual</w:t>
      </w:r>
      <w:r w:rsidRPr="00D02B9A">
        <w:rPr>
          <w:rFonts w:eastAsia="Calibri" w:cs="Segoe UI Light"/>
          <w:lang w:eastAsia="en-US"/>
        </w:rPr>
        <w:t xml:space="preserve"> e evolução em relação ao trimestre anterior;</w:t>
      </w:r>
    </w:p>
    <w:p w14:paraId="74379C10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Gaps e riscos críticos</w:t>
      </w:r>
      <w:r w:rsidRPr="00D02B9A">
        <w:rPr>
          <w:rFonts w:eastAsia="Calibri" w:cs="Segoe UI Light"/>
          <w:lang w:eastAsia="en-US"/>
        </w:rPr>
        <w:t xml:space="preserve"> identificados no assessment;</w:t>
      </w:r>
    </w:p>
    <w:p w14:paraId="146B117E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proofErr w:type="spellStart"/>
      <w:r w:rsidRPr="00D02B9A">
        <w:rPr>
          <w:rFonts w:eastAsia="Calibri" w:cs="Segoe UI Light"/>
          <w:b/>
          <w:bCs/>
          <w:lang w:eastAsia="en-US"/>
        </w:rPr>
        <w:t>OKRs</w:t>
      </w:r>
      <w:proofErr w:type="spellEnd"/>
      <w:r w:rsidRPr="00D02B9A">
        <w:rPr>
          <w:rFonts w:eastAsia="Calibri" w:cs="Segoe UI Light"/>
          <w:b/>
          <w:bCs/>
          <w:lang w:eastAsia="en-US"/>
        </w:rPr>
        <w:t xml:space="preserve"> S.M.A.R.T. prioritários</w:t>
      </w:r>
      <w:r w:rsidRPr="00D02B9A">
        <w:rPr>
          <w:rFonts w:eastAsia="Calibri" w:cs="Segoe UI Light"/>
          <w:lang w:eastAsia="en-US"/>
        </w:rPr>
        <w:t xml:space="preserve"> para o próximo trimestre, representando as ações definidas como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quick‑wins</w:t>
      </w:r>
      <w:proofErr w:type="spellEnd"/>
      <w:r w:rsidRPr="00D02B9A">
        <w:rPr>
          <w:rFonts w:eastAsia="Calibri" w:cs="Segoe UI Light"/>
          <w:lang w:eastAsia="en-US"/>
        </w:rPr>
        <w:t>;</w:t>
      </w:r>
    </w:p>
    <w:p w14:paraId="6A8AD607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Justificativa estratégica da priorização</w:t>
      </w:r>
      <w:r w:rsidRPr="00D02B9A">
        <w:rPr>
          <w:rFonts w:eastAsia="Calibri" w:cs="Segoe UI Light"/>
          <w:lang w:eastAsia="en-US"/>
        </w:rPr>
        <w:t>, baseada em impacto e esforço.</w:t>
      </w:r>
    </w:p>
    <w:p w14:paraId="6B41C0C7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Essa transparência facilita a governança executiva, engaja as áreas envolvidas e orienta a tomada de decisões baseada em dados.</w:t>
      </w:r>
    </w:p>
    <w:p w14:paraId="548D8442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8" w:name="_Toc212465403"/>
      <w:bookmarkEnd w:id="14"/>
      <w:bookmarkEnd w:id="15"/>
      <w:bookmarkEnd w:id="17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Implementação</w:t>
      </w:r>
      <w:bookmarkEnd w:id="18"/>
    </w:p>
    <w:p w14:paraId="5417BC74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val="en-US" w:eastAsia="en-US"/>
        </w:rPr>
      </w:pPr>
      <w:r w:rsidRPr="00D02B9A">
        <w:rPr>
          <w:rFonts w:eastAsia="Calibri" w:cs="Segoe UI Light"/>
          <w:lang w:eastAsia="en-US"/>
        </w:rPr>
        <w:t xml:space="preserve">Com duração aproximada de </w:t>
      </w:r>
      <w:r w:rsidRPr="00D02B9A">
        <w:rPr>
          <w:rFonts w:eastAsia="Calibri" w:cs="Segoe UI Light"/>
          <w:b/>
          <w:bCs/>
          <w:lang w:eastAsia="en-US"/>
        </w:rPr>
        <w:t>60 dias</w:t>
      </w:r>
      <w:r w:rsidRPr="00D02B9A">
        <w:rPr>
          <w:rFonts w:eastAsia="Calibri" w:cs="Segoe UI Light"/>
          <w:lang w:eastAsia="en-US"/>
        </w:rPr>
        <w:t xml:space="preserve"> por trimestre, a etapa de </w:t>
      </w:r>
      <w:r w:rsidRPr="00D02B9A">
        <w:rPr>
          <w:rFonts w:eastAsia="Calibri" w:cs="Segoe UI Light"/>
          <w:b/>
          <w:bCs/>
          <w:lang w:eastAsia="en-US"/>
        </w:rPr>
        <w:t>Implementação</w:t>
      </w:r>
      <w:r w:rsidRPr="00D02B9A">
        <w:rPr>
          <w:rFonts w:eastAsia="Calibri" w:cs="Segoe UI Light"/>
          <w:lang w:eastAsia="en-US"/>
        </w:rPr>
        <w:t xml:space="preserve"> executa as ações priorizadas, sempre em parceria com o cliente. </w:t>
      </w:r>
      <w:r w:rsidRPr="00D02B9A">
        <w:rPr>
          <w:rFonts w:eastAsia="Calibri" w:cs="Segoe UI Light"/>
          <w:lang w:val="en-US" w:eastAsia="en-US"/>
        </w:rPr>
        <w:t xml:space="preserve">As </w:t>
      </w:r>
      <w:proofErr w:type="spellStart"/>
      <w:r w:rsidRPr="00D02B9A">
        <w:rPr>
          <w:rFonts w:eastAsia="Calibri" w:cs="Segoe UI Light"/>
          <w:lang w:val="en-US" w:eastAsia="en-US"/>
        </w:rPr>
        <w:t>atividades</w:t>
      </w:r>
      <w:proofErr w:type="spellEnd"/>
      <w:r w:rsidRPr="00D02B9A">
        <w:rPr>
          <w:rFonts w:eastAsia="Calibri" w:cs="Segoe UI Light"/>
          <w:lang w:val="en-US" w:eastAsia="en-US"/>
        </w:rPr>
        <w:t xml:space="preserve"> </w:t>
      </w:r>
      <w:proofErr w:type="spellStart"/>
      <w:r w:rsidRPr="00D02B9A">
        <w:rPr>
          <w:rFonts w:eastAsia="Calibri" w:cs="Segoe UI Light"/>
          <w:lang w:val="en-US" w:eastAsia="en-US"/>
        </w:rPr>
        <w:t>podem</w:t>
      </w:r>
      <w:proofErr w:type="spellEnd"/>
      <w:r w:rsidRPr="00D02B9A">
        <w:rPr>
          <w:rFonts w:eastAsia="Calibri" w:cs="Segoe UI Light"/>
          <w:lang w:val="en-US" w:eastAsia="en-US"/>
        </w:rPr>
        <w:t xml:space="preserve"> </w:t>
      </w:r>
      <w:proofErr w:type="spellStart"/>
      <w:r w:rsidRPr="00D02B9A">
        <w:rPr>
          <w:rFonts w:eastAsia="Calibri" w:cs="Segoe UI Light"/>
          <w:lang w:val="en-US" w:eastAsia="en-US"/>
        </w:rPr>
        <w:t>incluir</w:t>
      </w:r>
      <w:proofErr w:type="spellEnd"/>
      <w:r w:rsidRPr="00D02B9A">
        <w:rPr>
          <w:rFonts w:eastAsia="Calibri" w:cs="Segoe UI Light"/>
          <w:lang w:val="en-US" w:eastAsia="en-US"/>
        </w:rPr>
        <w:t>:</w:t>
      </w:r>
    </w:p>
    <w:p w14:paraId="2DA59E3C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Implantações e melhorias no EDR/XDR</w:t>
      </w:r>
      <w:r w:rsidRPr="00D02B9A">
        <w:rPr>
          <w:rFonts w:eastAsia="Calibri" w:cs="Segoe UI Light"/>
          <w:lang w:eastAsia="en-US"/>
        </w:rPr>
        <w:t>: atualização de agentes, ativação de módulos avançados (</w:t>
      </w:r>
      <w:proofErr w:type="spellStart"/>
      <w:r w:rsidRPr="00D02B9A">
        <w:rPr>
          <w:rFonts w:eastAsia="Calibri" w:cs="Segoe UI Light"/>
          <w:lang w:eastAsia="en-US"/>
        </w:rPr>
        <w:t>antiransomware</w:t>
      </w:r>
      <w:proofErr w:type="spellEnd"/>
      <w:r w:rsidRPr="00D02B9A">
        <w:rPr>
          <w:rFonts w:eastAsia="Calibri" w:cs="Segoe UI Light"/>
          <w:lang w:eastAsia="en-US"/>
        </w:rPr>
        <w:t xml:space="preserve">, </w:t>
      </w:r>
      <w:r w:rsidRPr="00D02B9A">
        <w:rPr>
          <w:rFonts w:eastAsia="Calibri" w:cs="Segoe UI Light"/>
          <w:i/>
          <w:iCs/>
          <w:lang w:eastAsia="en-US"/>
        </w:rPr>
        <w:t xml:space="preserve">device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control</w:t>
      </w:r>
      <w:proofErr w:type="spellEnd"/>
      <w:r w:rsidRPr="00D02B9A">
        <w:rPr>
          <w:rFonts w:eastAsia="Calibri" w:cs="Segoe UI Light"/>
          <w:lang w:eastAsia="en-US"/>
        </w:rPr>
        <w:t xml:space="preserve">,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application</w:t>
      </w:r>
      <w:proofErr w:type="spellEnd"/>
      <w:r w:rsidRPr="00D02B9A">
        <w:rPr>
          <w:rFonts w:eastAsia="Calibri" w:cs="Segoe UI Light"/>
          <w:i/>
          <w:iCs/>
          <w:lang w:eastAsia="en-US"/>
        </w:rPr>
        <w:t xml:space="preserve">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control</w:t>
      </w:r>
      <w:proofErr w:type="spellEnd"/>
      <w:r w:rsidRPr="00D02B9A">
        <w:rPr>
          <w:rFonts w:eastAsia="Calibri" w:cs="Segoe UI Light"/>
          <w:lang w:eastAsia="en-US"/>
        </w:rPr>
        <w:t xml:space="preserve">), integração com </w:t>
      </w:r>
      <w:r w:rsidRPr="00D02B9A">
        <w:rPr>
          <w:rFonts w:eastAsia="Calibri" w:cs="Segoe UI Light"/>
          <w:b/>
          <w:bCs/>
          <w:lang w:eastAsia="en-US"/>
        </w:rPr>
        <w:t>SIEM/SOAR caso o cliente possua um SIEM próprio ou contrate o serviço de Detecção e Resposta</w:t>
      </w:r>
      <w:r w:rsidRPr="00D02B9A">
        <w:rPr>
          <w:rFonts w:eastAsia="Calibri" w:cs="Segoe UI Light"/>
          <w:lang w:eastAsia="en-US"/>
        </w:rPr>
        <w:t>;</w:t>
      </w:r>
    </w:p>
    <w:p w14:paraId="45B43372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lastRenderedPageBreak/>
        <w:t>Gestão de patches e vulnerabilidades</w:t>
      </w:r>
      <w:r w:rsidRPr="00D02B9A">
        <w:rPr>
          <w:rFonts w:eastAsia="Calibri" w:cs="Segoe UI Light"/>
          <w:lang w:eastAsia="en-US"/>
        </w:rPr>
        <w:t xml:space="preserve">: coordenação da aplicação de correções críticas, uso de </w:t>
      </w:r>
      <w:r w:rsidRPr="00D02B9A">
        <w:rPr>
          <w:rFonts w:eastAsia="Calibri" w:cs="Segoe UI Light"/>
          <w:i/>
          <w:iCs/>
          <w:lang w:eastAsia="en-US"/>
        </w:rPr>
        <w:t>virtual </w:t>
      </w:r>
      <w:proofErr w:type="spellStart"/>
      <w:r w:rsidRPr="00D02B9A">
        <w:rPr>
          <w:rFonts w:eastAsia="Calibri" w:cs="Segoe UI Light"/>
          <w:i/>
          <w:iCs/>
          <w:lang w:eastAsia="en-US"/>
        </w:rPr>
        <w:t>patching</w:t>
      </w:r>
      <w:proofErr w:type="spellEnd"/>
      <w:r w:rsidRPr="00D02B9A">
        <w:rPr>
          <w:rFonts w:eastAsia="Calibri" w:cs="Segoe UI Light"/>
          <w:lang w:eastAsia="en-US"/>
        </w:rPr>
        <w:t xml:space="preserve"> e comunicação estruturada sobre riscos e planos de mitigação;</w:t>
      </w:r>
    </w:p>
    <w:p w14:paraId="2D26797A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Criação ou revisão de processos</w:t>
      </w:r>
      <w:r w:rsidRPr="00D02B9A">
        <w:rPr>
          <w:rFonts w:eastAsia="Calibri" w:cs="Segoe UI Light"/>
          <w:lang w:eastAsia="en-US"/>
        </w:rPr>
        <w:t>: alinhamento com boas práticas de CIS </w:t>
      </w:r>
      <w:proofErr w:type="spellStart"/>
      <w:r w:rsidRPr="00D02B9A">
        <w:rPr>
          <w:rFonts w:eastAsia="Calibri" w:cs="Segoe UI Light"/>
          <w:lang w:eastAsia="en-US"/>
        </w:rPr>
        <w:t>Controls</w:t>
      </w:r>
      <w:proofErr w:type="spellEnd"/>
      <w:r w:rsidRPr="00D02B9A">
        <w:rPr>
          <w:rFonts w:eastAsia="Calibri" w:cs="Segoe UI Light"/>
          <w:lang w:eastAsia="en-US"/>
        </w:rPr>
        <w:t xml:space="preserve"> e NIST CSF para gestão de incidentes, acessos e configurações;</w:t>
      </w:r>
    </w:p>
    <w:p w14:paraId="380F07BA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Automação e scripts de resposta</w:t>
      </w:r>
      <w:r w:rsidRPr="00D02B9A">
        <w:rPr>
          <w:rFonts w:eastAsia="Calibri" w:cs="Segoe UI Light"/>
          <w:lang w:eastAsia="en-US"/>
        </w:rPr>
        <w:t xml:space="preserve">: desenvolvimento de </w:t>
      </w:r>
      <w:proofErr w:type="spellStart"/>
      <w:r w:rsidRPr="00D02B9A">
        <w:rPr>
          <w:rFonts w:eastAsia="Calibri" w:cs="Segoe UI Light"/>
          <w:i/>
          <w:iCs/>
          <w:lang w:eastAsia="en-US"/>
        </w:rPr>
        <w:t>playbooks</w:t>
      </w:r>
      <w:proofErr w:type="spellEnd"/>
      <w:r w:rsidRPr="00D02B9A">
        <w:rPr>
          <w:rFonts w:eastAsia="Calibri" w:cs="Segoe UI Light"/>
          <w:lang w:eastAsia="en-US"/>
        </w:rPr>
        <w:t xml:space="preserve"> para isolamento de máquinas infectadas, coleta de evidências, erradicação e restauração;</w:t>
      </w:r>
    </w:p>
    <w:p w14:paraId="33A82C35" w14:textId="77777777" w:rsidR="00D02B9A" w:rsidRPr="00D02B9A" w:rsidRDefault="00D02B9A" w:rsidP="00D02B9A">
      <w:pPr>
        <w:numPr>
          <w:ilvl w:val="0"/>
          <w:numId w:val="4"/>
        </w:numPr>
        <w:spacing w:before="36" w:after="36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b/>
          <w:bCs/>
          <w:lang w:eastAsia="en-US"/>
        </w:rPr>
        <w:t>Documentação formal</w:t>
      </w:r>
      <w:r w:rsidRPr="00D02B9A">
        <w:rPr>
          <w:rFonts w:eastAsia="Calibri" w:cs="Segoe UI Light"/>
          <w:lang w:eastAsia="en-US"/>
        </w:rPr>
        <w:t xml:space="preserve"> de políticas, procedimentos e mudanças, com rastreabilidade completa via ITSM.</w:t>
      </w:r>
    </w:p>
    <w:p w14:paraId="55B4CB96" w14:textId="77777777" w:rsidR="00D02B9A" w:rsidRPr="00D02B9A" w:rsidRDefault="00D02B9A" w:rsidP="00D02B9A">
      <w:pPr>
        <w:spacing w:before="180" w:after="18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implementação visa transformar recomendações em </w:t>
      </w:r>
      <w:r w:rsidRPr="00D02B9A">
        <w:rPr>
          <w:rFonts w:eastAsia="Calibri" w:cs="Segoe UI Light"/>
          <w:b/>
          <w:bCs/>
          <w:lang w:eastAsia="en-US"/>
        </w:rPr>
        <w:t>entregas tangíveis</w:t>
      </w:r>
      <w:r w:rsidRPr="00D02B9A">
        <w:rPr>
          <w:rFonts w:eastAsia="Calibri" w:cs="Segoe UI Light"/>
          <w:lang w:eastAsia="en-US"/>
        </w:rPr>
        <w:t xml:space="preserve">, promovendo avanços práticos e mensuráveis na segurança dos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>.</w:t>
      </w:r>
    </w:p>
    <w:p w14:paraId="13F32DA2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19" w:name="_Toc212465404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Continuidade e evolução</w:t>
      </w:r>
      <w:bookmarkEnd w:id="19"/>
    </w:p>
    <w:p w14:paraId="732A6828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O ciclo composto pelas cinco fases se repete trimestralmente, permitindo comparar o score de maturidade inicial com o score atual em cada QBR. Essa linha do tempo evolutiva reforça a proposta do serviço como uma jornada de amadurecimento contínuo, com ganhos progressivos e sustentáveis alinhados às prioridades do negócio.</w:t>
      </w:r>
    </w:p>
    <w:p w14:paraId="3CEAAB3C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0" w:name="_Toc212465405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ativos</w:t>
      </w:r>
      <w:bookmarkEnd w:id="20"/>
    </w:p>
    <w:p w14:paraId="11B7FB6F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gestão de ativos é baseada na função ID.AM do NIST CSF e garante controle total e rastreabilidade sobre todos os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gerenciados. Cada dispositivo é registrado em um </w:t>
      </w:r>
      <w:proofErr w:type="spellStart"/>
      <w:r w:rsidRPr="00D02B9A">
        <w:rPr>
          <w:rFonts w:eastAsia="Calibri" w:cs="Segoe UI Light"/>
          <w:lang w:eastAsia="en-US"/>
        </w:rPr>
        <w:t>Asset</w:t>
      </w:r>
      <w:proofErr w:type="spellEnd"/>
      <w:r w:rsidRPr="00D02B9A">
        <w:rPr>
          <w:rFonts w:eastAsia="Calibri" w:cs="Segoe UI Light"/>
          <w:lang w:eastAsia="en-US"/>
        </w:rPr>
        <w:t xml:space="preserve"> Board dinâmico e auditável, integrado à CMDB e enriquecido com telemetria. Os atributos de cada ativo incluem, por exemplo:</w:t>
      </w:r>
    </w:p>
    <w:p w14:paraId="5A35949C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Identificador único e </w:t>
      </w:r>
      <w:proofErr w:type="spellStart"/>
      <w:r w:rsidRPr="00D02B9A">
        <w:rPr>
          <w:rFonts w:eastAsia="Calibri" w:cs="Segoe UI Light"/>
          <w:lang w:eastAsia="en-US"/>
        </w:rPr>
        <w:t>hostname</w:t>
      </w:r>
      <w:proofErr w:type="spellEnd"/>
      <w:r w:rsidRPr="00D02B9A">
        <w:rPr>
          <w:rFonts w:eastAsia="Calibri" w:cs="Segoe UI Light"/>
          <w:lang w:eastAsia="en-US"/>
        </w:rPr>
        <w:t xml:space="preserve"> padronizado;</w:t>
      </w:r>
    </w:p>
    <w:p w14:paraId="549302DB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Sistema operacional, versão e nível de patch;</w:t>
      </w:r>
    </w:p>
    <w:p w14:paraId="26E171C3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Versão do agente EDR/XDR e status de comunicação;</w:t>
      </w:r>
    </w:p>
    <w:p w14:paraId="31D61664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Data da última atualização e expiração de licenças;</w:t>
      </w:r>
    </w:p>
    <w:p w14:paraId="7D25B7EA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Função do ativo (usuário final, servidor crítico, máquina virtual, dispositivo móvel);</w:t>
      </w:r>
    </w:p>
    <w:p w14:paraId="2B0D980D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Localização física ou lógica, proprietário e criticidade;</w:t>
      </w:r>
    </w:p>
    <w:p w14:paraId="438EF0EE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Conformidade com benchmarks CIS e configurações de segurança;</w:t>
      </w:r>
    </w:p>
    <w:p w14:paraId="5DBDBBDE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Histórico de incidentes, mudanças e intervenções aplicadas.</w:t>
      </w:r>
    </w:p>
    <w:p w14:paraId="52DD1295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O </w:t>
      </w:r>
      <w:proofErr w:type="spellStart"/>
      <w:r w:rsidRPr="00D02B9A">
        <w:rPr>
          <w:rFonts w:eastAsia="Calibri" w:cs="Segoe UI Light"/>
          <w:lang w:eastAsia="en-US"/>
        </w:rPr>
        <w:t>Asset</w:t>
      </w:r>
      <w:proofErr w:type="spellEnd"/>
      <w:r w:rsidRPr="00D02B9A">
        <w:rPr>
          <w:rFonts w:eastAsia="Calibri" w:cs="Segoe UI Light"/>
          <w:lang w:eastAsia="en-US"/>
        </w:rPr>
        <w:t> Board é continuamente alimentado por processos de descoberta, validação e reconciliação e serve como base para priorização de riscos, planejamento de patches, gestão de licenças e relatórios executivos.</w:t>
      </w:r>
    </w:p>
    <w:p w14:paraId="061EBD4B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1" w:name="_Toc212465406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capacidade e disponibilidade</w:t>
      </w:r>
      <w:bookmarkEnd w:id="21"/>
    </w:p>
    <w:p w14:paraId="64508D95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Embora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sejam distribuídos, a infraestrutura de EDR/XDR (consoles de gestão, servidores de update e armazenamento de logs) deve estar dimensionada para suportar o volume de telemetria e processos de varredura. A Solo Iron monitora:</w:t>
      </w:r>
    </w:p>
    <w:p w14:paraId="015474D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Capacidade de processamento e armazenamento do console de gestão e dos repositórios de logs;</w:t>
      </w:r>
    </w:p>
    <w:p w14:paraId="2012D1D8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Consumo de recursos dos agentes nos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>, evitando degradação de performance;</w:t>
      </w:r>
    </w:p>
    <w:p w14:paraId="0D09035F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Licenciamento e cobertura de agentes, garantindo que o número de licenças esteja alinhado com o crescimento do parque;</w:t>
      </w:r>
    </w:p>
    <w:p w14:paraId="2DD2FF7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Disponibilidade da solução (SLA de acesso à console, latência de atualização de assinaturas, redundância de servidores) para assegurar proteção contínua.</w:t>
      </w:r>
    </w:p>
    <w:p w14:paraId="129F0695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Planos de expansão e ajustes são propostos proativamente sempre que tendências de uso apontarem para saturação, assegurando escalabilidade e continuidade.</w:t>
      </w:r>
    </w:p>
    <w:p w14:paraId="79CC4081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2" w:name="_Toc212465407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acessos e segregação de funções</w:t>
      </w:r>
      <w:bookmarkEnd w:id="22"/>
    </w:p>
    <w:p w14:paraId="2BD38A2A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administração da solução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 xml:space="preserve"> é baseada em segregação de funções e controles de acesso rigorosos. Os princípios incluem:</w:t>
      </w:r>
    </w:p>
    <w:p w14:paraId="6D6841B3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PAM (</w:t>
      </w:r>
      <w:proofErr w:type="spellStart"/>
      <w:r w:rsidRPr="00D02B9A">
        <w:rPr>
          <w:rFonts w:eastAsia="Calibri" w:cs="Segoe UI Light"/>
          <w:lang w:eastAsia="en-US"/>
        </w:rPr>
        <w:t>Privileged</w:t>
      </w:r>
      <w:proofErr w:type="spellEnd"/>
      <w:r w:rsidRPr="00D02B9A">
        <w:rPr>
          <w:rFonts w:eastAsia="Calibri" w:cs="Segoe UI Light"/>
          <w:lang w:eastAsia="en-US"/>
        </w:rPr>
        <w:t> Access Management) para credenciais administrativas, com cofre de senhas e gravação de sessões;</w:t>
      </w:r>
    </w:p>
    <w:p w14:paraId="53AD6511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RBAC (Role‑</w:t>
      </w:r>
      <w:proofErr w:type="spellStart"/>
      <w:r w:rsidRPr="00D02B9A">
        <w:rPr>
          <w:rFonts w:eastAsia="Calibri" w:cs="Segoe UI Light"/>
          <w:lang w:eastAsia="en-US"/>
        </w:rPr>
        <w:t>Based</w:t>
      </w:r>
      <w:proofErr w:type="spellEnd"/>
      <w:r w:rsidRPr="00D02B9A">
        <w:rPr>
          <w:rFonts w:eastAsia="Calibri" w:cs="Segoe UI Light"/>
          <w:lang w:eastAsia="en-US"/>
        </w:rPr>
        <w:t> Access </w:t>
      </w:r>
      <w:proofErr w:type="spellStart"/>
      <w:r w:rsidRPr="00D02B9A">
        <w:rPr>
          <w:rFonts w:eastAsia="Calibri" w:cs="Segoe UI Light"/>
          <w:lang w:eastAsia="en-US"/>
        </w:rPr>
        <w:t>Control</w:t>
      </w:r>
      <w:proofErr w:type="spellEnd"/>
      <w:r w:rsidRPr="00D02B9A">
        <w:rPr>
          <w:rFonts w:eastAsia="Calibri" w:cs="Segoe UI Light"/>
          <w:lang w:eastAsia="en-US"/>
        </w:rPr>
        <w:t>) para limitar privilégios de acordo com responsabilidades (analista de nível 1, administrador global, auditor etc.);</w:t>
      </w:r>
    </w:p>
    <w:p w14:paraId="3E0B0C86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MFA (Autenticação multifator) obrigatória para acesso à console de gestão;</w:t>
      </w:r>
    </w:p>
    <w:p w14:paraId="48EC583B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Fluxos de aprovação para alterações de políticas, garantindo dupla revisão técnica antes da aplicação;</w:t>
      </w:r>
    </w:p>
    <w:p w14:paraId="2E01AA53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Proibição de que o mesmo analista crie e aplique uma mudança sem validação independente.</w:t>
      </w:r>
    </w:p>
    <w:p w14:paraId="10EFF24B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Times New Roman"/>
          <w:lang w:eastAsia="en-US"/>
        </w:rPr>
      </w:pPr>
      <w:r w:rsidRPr="00D02B9A">
        <w:rPr>
          <w:rFonts w:eastAsia="Calibri" w:cs="Segoe UI Light"/>
          <w:lang w:eastAsia="en-US"/>
        </w:rPr>
        <w:lastRenderedPageBreak/>
        <w:t>Esse modelo atende a controles de ISO/IEC 27001, NIST SP 800‑53 e CIS </w:t>
      </w:r>
      <w:proofErr w:type="spellStart"/>
      <w:r w:rsidRPr="00D02B9A">
        <w:rPr>
          <w:rFonts w:eastAsia="Calibri" w:cs="Segoe UI Light"/>
          <w:lang w:eastAsia="en-US"/>
        </w:rPr>
        <w:t>Controls</w:t>
      </w:r>
      <w:proofErr w:type="spellEnd"/>
      <w:r w:rsidRPr="00D02B9A">
        <w:rPr>
          <w:rFonts w:eastAsia="Calibri" w:cs="Segoe UI Light"/>
          <w:lang w:eastAsia="en-US"/>
        </w:rPr>
        <w:t>, reduzindo risco de erros e ações não autorizadas, além de fornecer rastreabilidade completa em auditorias</w:t>
      </w:r>
      <w:r w:rsidRPr="00D02B9A">
        <w:rPr>
          <w:rFonts w:eastAsia="Calibri" w:cs="Times New Roman"/>
          <w:lang w:eastAsia="en-US"/>
        </w:rPr>
        <w:t>.</w:t>
      </w:r>
    </w:p>
    <w:p w14:paraId="602EED4D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3" w:name="_Toc212465408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vulnerabilidades</w:t>
      </w:r>
      <w:bookmarkEnd w:id="23"/>
    </w:p>
    <w:p w14:paraId="03529CCF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A gestão de vulnerabilidades da Solo Iron segue um modelo Risk‑</w:t>
      </w:r>
      <w:proofErr w:type="spellStart"/>
      <w:r w:rsidRPr="00D02B9A">
        <w:rPr>
          <w:rFonts w:eastAsia="Calibri" w:cs="Segoe UI Light"/>
          <w:lang w:eastAsia="en-US"/>
        </w:rPr>
        <w:t>Based</w:t>
      </w:r>
      <w:proofErr w:type="spellEnd"/>
      <w:r w:rsidRPr="00D02B9A">
        <w:rPr>
          <w:rFonts w:eastAsia="Calibri" w:cs="Segoe UI Light"/>
          <w:lang w:eastAsia="en-US"/>
        </w:rPr>
        <w:t> </w:t>
      </w:r>
      <w:proofErr w:type="spellStart"/>
      <w:r w:rsidRPr="00D02B9A">
        <w:rPr>
          <w:rFonts w:eastAsia="Calibri" w:cs="Segoe UI Light"/>
          <w:lang w:eastAsia="en-US"/>
        </w:rPr>
        <w:t>Vulnerability</w:t>
      </w:r>
      <w:proofErr w:type="spellEnd"/>
      <w:r w:rsidRPr="00D02B9A">
        <w:rPr>
          <w:rFonts w:eastAsia="Calibri" w:cs="Segoe UI Light"/>
          <w:lang w:eastAsia="en-US"/>
        </w:rPr>
        <w:t xml:space="preserve"> Management. O ciclo começa com monitoramento automático de </w:t>
      </w:r>
      <w:proofErr w:type="spellStart"/>
      <w:r w:rsidRPr="00D02B9A">
        <w:rPr>
          <w:rFonts w:eastAsia="Calibri" w:cs="Segoe UI Light"/>
          <w:lang w:eastAsia="en-US"/>
        </w:rPr>
        <w:t>CVEs</w:t>
      </w:r>
      <w:proofErr w:type="spellEnd"/>
      <w:r w:rsidRPr="00D02B9A">
        <w:rPr>
          <w:rFonts w:eastAsia="Calibri" w:cs="Segoe UI Light"/>
          <w:lang w:eastAsia="en-US"/>
        </w:rPr>
        <w:t xml:space="preserve">, releases e </w:t>
      </w:r>
      <w:proofErr w:type="spellStart"/>
      <w:r w:rsidRPr="00D02B9A">
        <w:rPr>
          <w:rFonts w:eastAsia="Calibri" w:cs="Segoe UI Light"/>
          <w:lang w:eastAsia="en-US"/>
        </w:rPr>
        <w:t>advisors</w:t>
      </w:r>
      <w:proofErr w:type="spellEnd"/>
      <w:r w:rsidRPr="00D02B9A">
        <w:rPr>
          <w:rFonts w:eastAsia="Calibri" w:cs="Segoe UI Light"/>
          <w:lang w:eastAsia="en-US"/>
        </w:rPr>
        <w:t xml:space="preserve"> dos fabricantes das plataformas EDR/XDR e sistemas operacionais suportados. Cada nova vulnerabilidade é correlacionada aos ativos do </w:t>
      </w:r>
      <w:proofErr w:type="spellStart"/>
      <w:r w:rsidRPr="00D02B9A">
        <w:rPr>
          <w:rFonts w:eastAsia="Calibri" w:cs="Segoe UI Light"/>
          <w:lang w:eastAsia="en-US"/>
        </w:rPr>
        <w:t>Asset</w:t>
      </w:r>
      <w:proofErr w:type="spellEnd"/>
      <w:r w:rsidRPr="00D02B9A">
        <w:rPr>
          <w:rFonts w:eastAsia="Calibri" w:cs="Segoe UI Light"/>
          <w:lang w:eastAsia="en-US"/>
        </w:rPr>
        <w:t xml:space="preserve"> Board para identificar quais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estão expostos.</w:t>
      </w:r>
    </w:p>
    <w:p w14:paraId="13567204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Para cada vulnerabilidade são considerados:</w:t>
      </w:r>
    </w:p>
    <w:p w14:paraId="7660BB80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Probabilidade, avaliando exposição, vetores de ataque, existência de </w:t>
      </w:r>
      <w:proofErr w:type="spellStart"/>
      <w:r w:rsidRPr="00D02B9A">
        <w:rPr>
          <w:rFonts w:eastAsia="Calibri" w:cs="Segoe UI Light"/>
          <w:lang w:eastAsia="en-US"/>
        </w:rPr>
        <w:t>exploits</w:t>
      </w:r>
      <w:proofErr w:type="spellEnd"/>
      <w:r w:rsidRPr="00D02B9A">
        <w:rPr>
          <w:rFonts w:eastAsia="Calibri" w:cs="Segoe UI Light"/>
          <w:lang w:eastAsia="en-US"/>
        </w:rPr>
        <w:t xml:space="preserve"> públicos e mitigadores já presentes;</w:t>
      </w:r>
    </w:p>
    <w:p w14:paraId="7806093E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Impacto, considerando a função do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>, sensibilidade dos dados tratados e dependências de negócio;</w:t>
      </w:r>
    </w:p>
    <w:p w14:paraId="1A9D978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Nível de risco (muito baixo, baixo, médio, alto, muito alto) registrado em matriz de risco 5×5 conforme a ISO 27005.</w:t>
      </w:r>
    </w:p>
    <w:p w14:paraId="2ACA96DE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O tratamento varia de acordo com o tipo de release:</w:t>
      </w:r>
    </w:p>
    <w:p w14:paraId="390A9C6A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Security Patch – gera um plano de GMUD padrão e comunicação ao cliente com descrição da vulnerabilidade, avaliação de risco e janela de aplicação;</w:t>
      </w:r>
    </w:p>
    <w:p w14:paraId="671F5936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Minor Release – analisada quanto a novas funcionalidades; agrupada para aplicação conjunta em janelas planejadas, reduzindo interrupções;</w:t>
      </w:r>
    </w:p>
    <w:p w14:paraId="38AE4A21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Major Release – a Solo Iron recomenda manter a versão N‑1; upgrades são planejados com cuidado para equilibrar inovação e estabilidade.</w:t>
      </w:r>
    </w:p>
    <w:p w14:paraId="115EA1D8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Todos os riscos são exibidos em dashboards táticos e executivos com filtros por criticidade e status de tratamento. O objetivo é assegurar que cada correção agregue valor e minimize impacto operacional.</w:t>
      </w:r>
    </w:p>
    <w:p w14:paraId="76738460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4" w:name="_Toc212465409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mudanças</w:t>
      </w:r>
      <w:bookmarkEnd w:id="24"/>
    </w:p>
    <w:p w14:paraId="48AA5DD2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Alterações em políticas, regras e configurações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 xml:space="preserve"> são tratadas através de um processo formal de gestão de mudanças, alinhado às práticas de NIST SP 800‑128, ISO 27001:2022 (A.12.1.2) e ITIL 4 (</w:t>
      </w:r>
      <w:proofErr w:type="spellStart"/>
      <w:r w:rsidRPr="00D02B9A">
        <w:rPr>
          <w:rFonts w:eastAsia="Calibri" w:cs="Segoe UI Light"/>
          <w:lang w:eastAsia="en-US"/>
        </w:rPr>
        <w:t>Change</w:t>
      </w:r>
      <w:proofErr w:type="spellEnd"/>
      <w:r w:rsidRPr="00D02B9A">
        <w:rPr>
          <w:rFonts w:eastAsia="Calibri" w:cs="Segoe UI Light"/>
          <w:lang w:eastAsia="en-US"/>
        </w:rPr>
        <w:t> </w:t>
      </w:r>
      <w:proofErr w:type="spellStart"/>
      <w:r w:rsidRPr="00D02B9A">
        <w:rPr>
          <w:rFonts w:eastAsia="Calibri" w:cs="Segoe UI Light"/>
          <w:lang w:eastAsia="en-US"/>
        </w:rPr>
        <w:t>Enablement</w:t>
      </w:r>
      <w:proofErr w:type="spellEnd"/>
      <w:r w:rsidRPr="00D02B9A">
        <w:rPr>
          <w:rFonts w:eastAsia="Calibri" w:cs="Segoe UI Light"/>
          <w:lang w:eastAsia="en-US"/>
        </w:rPr>
        <w:t>).</w:t>
      </w:r>
    </w:p>
    <w:p w14:paraId="4ADE205F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Quando o cliente possui um Comitê de Mudanças, a equipe Solo Iron integra‑se ao fluxo existente, respeitando prazos e formatos. Caso contrário, aplica‑se o modelo Solo Iron, que inclui:</w:t>
      </w:r>
    </w:p>
    <w:p w14:paraId="468CC99B" w14:textId="77777777" w:rsidR="00D02B9A" w:rsidRPr="00D02B9A" w:rsidRDefault="00D02B9A" w:rsidP="00D02B9A">
      <w:pPr>
        <w:numPr>
          <w:ilvl w:val="0"/>
          <w:numId w:val="7"/>
        </w:numPr>
        <w:spacing w:before="0" w:after="120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Dupla checagem técnica: um especialista elabora o plano de mudança e outro </w:t>
      </w:r>
      <w:proofErr w:type="spellStart"/>
      <w:r w:rsidRPr="00D02B9A">
        <w:rPr>
          <w:rFonts w:eastAsia="Calibri" w:cs="Segoe UI Light"/>
          <w:lang w:eastAsia="en-US"/>
        </w:rPr>
        <w:t>valida</w:t>
      </w:r>
      <w:proofErr w:type="spellEnd"/>
      <w:r w:rsidRPr="00D02B9A">
        <w:rPr>
          <w:rFonts w:eastAsia="Calibri" w:cs="Segoe UI Light"/>
          <w:lang w:eastAsia="en-US"/>
        </w:rPr>
        <w:t>.</w:t>
      </w:r>
    </w:p>
    <w:p w14:paraId="221F2B22" w14:textId="77777777" w:rsidR="00D02B9A" w:rsidRPr="00D02B9A" w:rsidRDefault="00D02B9A" w:rsidP="00D02B9A">
      <w:pPr>
        <w:numPr>
          <w:ilvl w:val="0"/>
          <w:numId w:val="7"/>
        </w:numPr>
        <w:spacing w:before="0" w:after="120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Defesa técnica em comitê interno da Solo Iron, avaliando riscos e impacto.</w:t>
      </w:r>
    </w:p>
    <w:p w14:paraId="20C67971" w14:textId="77777777" w:rsidR="00D02B9A" w:rsidRPr="00D02B9A" w:rsidRDefault="00D02B9A" w:rsidP="00D02B9A">
      <w:pPr>
        <w:numPr>
          <w:ilvl w:val="0"/>
          <w:numId w:val="7"/>
        </w:numPr>
        <w:spacing w:before="0" w:after="120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Submissão ao cliente com justificativa, objetivo, impacto, janela, plano de </w:t>
      </w:r>
      <w:proofErr w:type="spellStart"/>
      <w:r w:rsidRPr="00D02B9A">
        <w:rPr>
          <w:rFonts w:eastAsia="Calibri" w:cs="Segoe UI Light"/>
          <w:lang w:eastAsia="en-US"/>
        </w:rPr>
        <w:t>rollback</w:t>
      </w:r>
      <w:proofErr w:type="spellEnd"/>
      <w:r w:rsidRPr="00D02B9A">
        <w:rPr>
          <w:rFonts w:eastAsia="Calibri" w:cs="Segoe UI Light"/>
          <w:lang w:eastAsia="en-US"/>
        </w:rPr>
        <w:t xml:space="preserve"> e critérios de sucesso.</w:t>
      </w:r>
    </w:p>
    <w:p w14:paraId="792D9F77" w14:textId="77777777" w:rsidR="00D02B9A" w:rsidRPr="00D02B9A" w:rsidRDefault="00D02B9A" w:rsidP="00D02B9A">
      <w:pPr>
        <w:numPr>
          <w:ilvl w:val="0"/>
          <w:numId w:val="7"/>
        </w:numPr>
        <w:spacing w:before="0" w:after="120" w:line="259" w:lineRule="auto"/>
        <w:ind w:left="72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Execução somente após aprovação formal do cliente e do comitê.</w:t>
      </w:r>
    </w:p>
    <w:p w14:paraId="664B9A01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Para vulnerabilidades críticas que exigem ação imediata, há um fluxo de mudança emergencial: o plano é elaborado e enviado diretamente ao cliente; após execução, é revisado em comitê para registro e auditoria. Esse modelo garante previsibilidade, rastreabilidade e aderência a auditorias, sem comprometer agilidade em situações urgentes.</w:t>
      </w:r>
    </w:p>
    <w:p w14:paraId="7D600947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5" w:name="_Toc212465410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configurações</w:t>
      </w:r>
      <w:bookmarkEnd w:id="25"/>
    </w:p>
    <w:p w14:paraId="6850DEBA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gestão de configurações assegura que cada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 xml:space="preserve"> opere com parâmetros autorizados e seguros, conforme padrões técnicos e de conformidade. Os principais elementos são:</w:t>
      </w:r>
    </w:p>
    <w:p w14:paraId="017D822E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Definição de baseline de configuração (</w:t>
      </w:r>
      <w:proofErr w:type="spellStart"/>
      <w:r w:rsidRPr="00D02B9A">
        <w:rPr>
          <w:rFonts w:eastAsia="Calibri" w:cs="Segoe UI Light"/>
          <w:lang w:eastAsia="en-US"/>
        </w:rPr>
        <w:t>golden</w:t>
      </w:r>
      <w:proofErr w:type="spellEnd"/>
      <w:r w:rsidRPr="00D02B9A">
        <w:rPr>
          <w:rFonts w:eastAsia="Calibri" w:cs="Segoe UI Light"/>
          <w:lang w:eastAsia="en-US"/>
        </w:rPr>
        <w:t xml:space="preserve"> </w:t>
      </w:r>
      <w:proofErr w:type="spellStart"/>
      <w:r w:rsidRPr="00D02B9A">
        <w:rPr>
          <w:rFonts w:eastAsia="Calibri" w:cs="Segoe UI Light"/>
          <w:lang w:eastAsia="en-US"/>
        </w:rPr>
        <w:t>image</w:t>
      </w:r>
      <w:proofErr w:type="spellEnd"/>
      <w:r w:rsidRPr="00D02B9A">
        <w:rPr>
          <w:rFonts w:eastAsia="Calibri" w:cs="Segoe UI Light"/>
          <w:lang w:eastAsia="en-US"/>
        </w:rPr>
        <w:t>) para diferentes perfis de dispositivos;</w:t>
      </w:r>
    </w:p>
    <w:p w14:paraId="46F7D4CF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Verificação de conformidade contínua com benchmarks CIS, identificando desvios e recomendações de correção;</w:t>
      </w:r>
    </w:p>
    <w:p w14:paraId="2CABE896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Inventário de software e controle de aplicações permitidas e proibidas;</w:t>
      </w:r>
    </w:p>
    <w:p w14:paraId="5A068A33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Auditoria de alterações em registros e chaves sensíveis do sistema operacional;</w:t>
      </w:r>
    </w:p>
    <w:p w14:paraId="47F099D9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Integração com MDM/UEM para administração de dispositivos móveis e aplicação de políticas.</w:t>
      </w:r>
    </w:p>
    <w:p w14:paraId="744AF312" w14:textId="77777777" w:rsidR="00D02B9A" w:rsidRPr="00D02B9A" w:rsidRDefault="00D02B9A" w:rsidP="00D02B9A">
      <w:pPr>
        <w:numPr>
          <w:ilvl w:val="0"/>
          <w:numId w:val="8"/>
        </w:numPr>
        <w:spacing w:before="0" w:after="120" w:line="259" w:lineRule="auto"/>
        <w:ind w:left="3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Relatórios periódicos permitem ao cliente acompanhar o nível de conformidade e priorizar ajustes.</w:t>
      </w:r>
    </w:p>
    <w:p w14:paraId="7A5BE030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6" w:name="_Toc212465411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backups e recuperação de desastres</w:t>
      </w:r>
      <w:bookmarkEnd w:id="26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 xml:space="preserve"> para ambientes </w:t>
      </w:r>
      <w:proofErr w:type="spellStart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On</w:t>
      </w:r>
      <w:proofErr w:type="spellEnd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-premisse</w:t>
      </w:r>
    </w:p>
    <w:p w14:paraId="31B48BF2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Para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críticos (servidores, máquinas de uso intensivo), o serviço contempla integração com soluções de backup corporativo, assegurando que configurações e dados possam ser restaurados em caso de falha, ataque ou corrupção. As políticas de retenção, frequência e criptografia dos backups obedecem às melhores práticas de ISO 22301 e NIST. O processo inclui testes periódicos de restauração para validar tempos de recuperação e integridade.</w:t>
      </w:r>
    </w:p>
    <w:p w14:paraId="76699C27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7" w:name="_Toc212465412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lastRenderedPageBreak/>
        <w:t>Gestão de estratégia defensiva</w:t>
      </w:r>
      <w:bookmarkEnd w:id="27"/>
    </w:p>
    <w:p w14:paraId="4C986AD2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A </w:t>
      </w:r>
      <w:r w:rsidRPr="00D02B9A">
        <w:rPr>
          <w:rFonts w:eastAsia="Calibri" w:cs="Segoe UI Light"/>
          <w:b/>
          <w:bCs/>
          <w:lang w:eastAsia="en-US"/>
        </w:rPr>
        <w:t>Solo Iron</w:t>
      </w:r>
      <w:r w:rsidRPr="00D02B9A">
        <w:rPr>
          <w:rFonts w:eastAsia="Calibri" w:cs="Segoe UI Light"/>
          <w:lang w:eastAsia="en-US"/>
        </w:rPr>
        <w:t xml:space="preserve"> adota uma estratégia defensiva adaptativa para proteção de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. O serviço é continuamente aprimorado com base nas informações provenientes da </w:t>
      </w:r>
      <w:r w:rsidRPr="00D02B9A">
        <w:rPr>
          <w:rFonts w:eastAsia="Calibri" w:cs="Segoe UI Light"/>
          <w:b/>
          <w:bCs/>
          <w:lang w:eastAsia="en-US"/>
        </w:rPr>
        <w:t xml:space="preserve">equipe de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Ciber</w:t>
      </w:r>
      <w:proofErr w:type="spellEnd"/>
      <w:r w:rsidRPr="00D02B9A">
        <w:rPr>
          <w:rFonts w:eastAsia="Calibri" w:cs="Segoe UI Light"/>
          <w:b/>
          <w:bCs/>
          <w:lang w:eastAsia="en-US"/>
        </w:rPr>
        <w:t xml:space="preserve">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Threat</w:t>
      </w:r>
      <w:proofErr w:type="spellEnd"/>
      <w:r w:rsidRPr="00D02B9A">
        <w:rPr>
          <w:rFonts w:eastAsia="Calibri" w:cs="Segoe UI Light"/>
          <w:b/>
          <w:bCs/>
          <w:lang w:eastAsia="en-US"/>
        </w:rPr>
        <w:t xml:space="preserve"> </w:t>
      </w:r>
      <w:proofErr w:type="spellStart"/>
      <w:r w:rsidRPr="00D02B9A">
        <w:rPr>
          <w:rFonts w:eastAsia="Calibri" w:cs="Segoe UI Light"/>
          <w:b/>
          <w:bCs/>
          <w:lang w:eastAsia="en-US"/>
        </w:rPr>
        <w:t>Intelligence</w:t>
      </w:r>
      <w:proofErr w:type="spellEnd"/>
      <w:r w:rsidRPr="00D02B9A">
        <w:rPr>
          <w:rFonts w:eastAsia="Calibri" w:cs="Segoe UI Light"/>
          <w:lang w:eastAsia="en-US"/>
        </w:rPr>
        <w:t xml:space="preserve">, que compartilha análises sobre tendências de ataques, </w:t>
      </w:r>
      <w:proofErr w:type="spellStart"/>
      <w:r w:rsidRPr="00D02B9A">
        <w:rPr>
          <w:rFonts w:eastAsia="Calibri" w:cs="Segoe UI Light"/>
          <w:lang w:eastAsia="en-US"/>
        </w:rPr>
        <w:t>TTPs</w:t>
      </w:r>
      <w:proofErr w:type="spellEnd"/>
      <w:r w:rsidRPr="00D02B9A">
        <w:rPr>
          <w:rFonts w:eastAsia="Calibri" w:cs="Segoe UI Light"/>
          <w:lang w:eastAsia="en-US"/>
        </w:rPr>
        <w:t xml:space="preserve"> do </w:t>
      </w:r>
      <w:r w:rsidRPr="00D02B9A">
        <w:rPr>
          <w:rFonts w:eastAsia="Calibri" w:cs="Segoe UI Light"/>
          <w:b/>
          <w:bCs/>
          <w:lang w:eastAsia="en-US"/>
        </w:rPr>
        <w:t>MITRE ATT&amp;CK</w:t>
      </w:r>
      <w:r w:rsidRPr="00D02B9A">
        <w:rPr>
          <w:rFonts w:eastAsia="Calibri" w:cs="Segoe UI Light"/>
          <w:lang w:eastAsia="en-US"/>
        </w:rPr>
        <w:t xml:space="preserve"> e indicadores de comprometimento (</w:t>
      </w:r>
      <w:proofErr w:type="spellStart"/>
      <w:r w:rsidRPr="00D02B9A">
        <w:rPr>
          <w:rFonts w:eastAsia="Calibri" w:cs="Segoe UI Light"/>
          <w:lang w:eastAsia="en-US"/>
        </w:rPr>
        <w:t>IOCs</w:t>
      </w:r>
      <w:proofErr w:type="spellEnd"/>
      <w:r w:rsidRPr="00D02B9A">
        <w:rPr>
          <w:rFonts w:eastAsia="Calibri" w:cs="Segoe UI Light"/>
          <w:lang w:eastAsia="en-US"/>
        </w:rPr>
        <w:t>) relevantes. Essa integração permite antecipar e prevenir ataques emergentes, mantendo as políticas de segurança atualizadas e eficazes diante do cenário de ameaças em constante evolução. As principais atividades incluem:</w:t>
      </w:r>
    </w:p>
    <w:p w14:paraId="0E46CE70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Revisão contínua das regras de detecção para reduzir falsos positivos e aumentar a precisão;</w:t>
      </w:r>
    </w:p>
    <w:p w14:paraId="4D6A517D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Análise de comportamento de usuários e processos para identificar living‑off‑</w:t>
      </w:r>
      <w:proofErr w:type="spellStart"/>
      <w:r w:rsidRPr="00D02B9A">
        <w:rPr>
          <w:rFonts w:eastAsia="Calibri" w:cs="Segoe UI Light"/>
          <w:lang w:eastAsia="en-US"/>
        </w:rPr>
        <w:t>the</w:t>
      </w:r>
      <w:proofErr w:type="spellEnd"/>
      <w:r w:rsidRPr="00D02B9A">
        <w:rPr>
          <w:rFonts w:eastAsia="Calibri" w:cs="Segoe UI Light"/>
          <w:lang w:eastAsia="en-US"/>
        </w:rPr>
        <w:t>‑</w:t>
      </w:r>
      <w:proofErr w:type="spellStart"/>
      <w:r w:rsidRPr="00D02B9A">
        <w:rPr>
          <w:rFonts w:eastAsia="Calibri" w:cs="Segoe UI Light"/>
          <w:lang w:eastAsia="en-US"/>
        </w:rPr>
        <w:t>land</w:t>
      </w:r>
      <w:proofErr w:type="spellEnd"/>
      <w:r w:rsidRPr="00D02B9A">
        <w:rPr>
          <w:rFonts w:eastAsia="Calibri" w:cs="Segoe UI Light"/>
          <w:lang w:eastAsia="en-US"/>
        </w:rPr>
        <w:t xml:space="preserve"> e movimentos laterais;</w:t>
      </w:r>
    </w:p>
    <w:p w14:paraId="02C50819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Integração de feeds de inteligência (</w:t>
      </w:r>
      <w:proofErr w:type="spellStart"/>
      <w:r w:rsidRPr="00D02B9A">
        <w:rPr>
          <w:rFonts w:eastAsia="Calibri" w:cs="Segoe UI Light"/>
          <w:lang w:eastAsia="en-US"/>
        </w:rPr>
        <w:t>IoCs</w:t>
      </w:r>
      <w:proofErr w:type="spellEnd"/>
      <w:r w:rsidRPr="00D02B9A">
        <w:rPr>
          <w:rFonts w:eastAsia="Calibri" w:cs="Segoe UI Light"/>
          <w:lang w:eastAsia="en-US"/>
        </w:rPr>
        <w:t xml:space="preserve">, Yara </w:t>
      </w:r>
      <w:proofErr w:type="spellStart"/>
      <w:r w:rsidRPr="00D02B9A">
        <w:rPr>
          <w:rFonts w:eastAsia="Calibri" w:cs="Segoe UI Light"/>
          <w:lang w:eastAsia="en-US"/>
        </w:rPr>
        <w:t>rules</w:t>
      </w:r>
      <w:proofErr w:type="spellEnd"/>
      <w:r w:rsidRPr="00D02B9A">
        <w:rPr>
          <w:rFonts w:eastAsia="Calibri" w:cs="Segoe UI Light"/>
          <w:lang w:eastAsia="en-US"/>
        </w:rPr>
        <w:t>, Sigma) ao EDR/XDR;</w:t>
      </w:r>
    </w:p>
    <w:p w14:paraId="5BD458D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Revisões trimestrais de arquitetura para validar cobertura e integração entre ferramentas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>, rede e nuvem;</w:t>
      </w:r>
    </w:p>
    <w:p w14:paraId="7C60D498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Geração de relatórios estratégicos que recomendam melhorias de postura, adoção de novas tecnologias e ajuste de políticas.</w:t>
      </w:r>
    </w:p>
    <w:p w14:paraId="29C8CDAC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Essa gestão garante que a proteção se adapte ao ambiente e ao negócio, antecipando‑se às ameaças emergentes.</w:t>
      </w:r>
    </w:p>
    <w:p w14:paraId="1786FC1B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8" w:name="_Toc212465413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Gestão de indicadores e relatórios</w:t>
      </w:r>
      <w:bookmarkEnd w:id="28"/>
    </w:p>
    <w:p w14:paraId="30824943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O serviço define e acompanha métricas em três níveis, operacional, tático e estratégico para medir a eficácia da segurança de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>:</w:t>
      </w:r>
    </w:p>
    <w:p w14:paraId="114164B0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Score de maturidade por domínio (conforme SOC‑CMM) e sua evolução trimestral;</w:t>
      </w:r>
    </w:p>
    <w:p w14:paraId="14C0632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KPIs técnicos como porcentagem de </w:t>
      </w:r>
      <w:proofErr w:type="spellStart"/>
      <w:r w:rsidRPr="00D02B9A">
        <w:rPr>
          <w:rFonts w:eastAsia="Calibri" w:cs="Segoe UI Light"/>
          <w:lang w:eastAsia="en-US"/>
        </w:rPr>
        <w:t>endpoints</w:t>
      </w:r>
      <w:proofErr w:type="spellEnd"/>
      <w:r w:rsidRPr="00D02B9A">
        <w:rPr>
          <w:rFonts w:eastAsia="Calibri" w:cs="Segoe UI Light"/>
          <w:lang w:eastAsia="en-US"/>
        </w:rPr>
        <w:t xml:space="preserve"> protegidos, tempo médio de detecção (MTTD), tempo médio de resposta (MTTR), taxa de atualização de agentes, conformidade com baseline de configuração;</w:t>
      </w:r>
    </w:p>
    <w:p w14:paraId="33A8468D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Relatórios executivos e dashboards mensais e trimestrais, com indicadores de tendências, incidentes e estado geral de risco;</w:t>
      </w:r>
    </w:p>
    <w:p w14:paraId="59A76D55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Evolução de </w:t>
      </w:r>
      <w:proofErr w:type="spellStart"/>
      <w:r w:rsidRPr="00D02B9A">
        <w:rPr>
          <w:rFonts w:eastAsia="Calibri" w:cs="Segoe UI Light"/>
          <w:lang w:eastAsia="en-US"/>
        </w:rPr>
        <w:t>OKRs</w:t>
      </w:r>
      <w:proofErr w:type="spellEnd"/>
      <w:r w:rsidRPr="00D02B9A">
        <w:rPr>
          <w:rFonts w:eastAsia="Calibri" w:cs="Segoe UI Light"/>
          <w:lang w:eastAsia="en-US"/>
        </w:rPr>
        <w:t xml:space="preserve"> e rastreabilidade das melhorias implementadas.</w:t>
      </w:r>
    </w:p>
    <w:p w14:paraId="071A351E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Os relatórios podem ser fornecidos sob demanda e são integrados aos sistemas de ITSM do cliente (</w:t>
      </w:r>
      <w:proofErr w:type="spellStart"/>
      <w:r w:rsidRPr="00D02B9A">
        <w:rPr>
          <w:rFonts w:eastAsia="Calibri" w:cs="Segoe UI Light"/>
          <w:lang w:eastAsia="en-US"/>
        </w:rPr>
        <w:t>ServiceNow</w:t>
      </w:r>
      <w:proofErr w:type="spellEnd"/>
      <w:r w:rsidRPr="00D02B9A">
        <w:rPr>
          <w:rFonts w:eastAsia="Calibri" w:cs="Segoe UI Light"/>
          <w:lang w:eastAsia="en-US"/>
        </w:rPr>
        <w:t xml:space="preserve">, </w:t>
      </w:r>
      <w:proofErr w:type="spellStart"/>
      <w:r w:rsidRPr="00D02B9A">
        <w:rPr>
          <w:rFonts w:eastAsia="Calibri" w:cs="Segoe UI Light"/>
          <w:lang w:eastAsia="en-US"/>
        </w:rPr>
        <w:t>Jira</w:t>
      </w:r>
      <w:proofErr w:type="spellEnd"/>
      <w:r w:rsidRPr="00D02B9A">
        <w:rPr>
          <w:rFonts w:eastAsia="Calibri" w:cs="Segoe UI Light"/>
          <w:lang w:eastAsia="en-US"/>
        </w:rPr>
        <w:t>) para facilitar acompanhamento e auditoria.</w:t>
      </w:r>
    </w:p>
    <w:p w14:paraId="13746E35" w14:textId="77777777" w:rsidR="00D02B9A" w:rsidRPr="00D02B9A" w:rsidRDefault="00D02B9A" w:rsidP="00D02B9A">
      <w:pPr>
        <w:keepNext/>
        <w:keepLines/>
        <w:spacing w:before="240" w:after="0" w:line="259" w:lineRule="auto"/>
        <w:outlineLvl w:val="0"/>
        <w:rPr>
          <w:rFonts w:eastAsia="Times New Roman" w:cs="Times New Roman"/>
          <w:color w:val="2F5496"/>
          <w:sz w:val="32"/>
          <w:szCs w:val="32"/>
          <w:lang w:eastAsia="en-US"/>
        </w:rPr>
      </w:pPr>
      <w:bookmarkStart w:id="29" w:name="_Toc212465414"/>
      <w:r w:rsidRPr="00D02B9A">
        <w:rPr>
          <w:rFonts w:eastAsia="Times New Roman" w:cs="Times New Roman"/>
          <w:color w:val="2F5496"/>
          <w:sz w:val="32"/>
          <w:szCs w:val="32"/>
          <w:lang w:eastAsia="en-US"/>
        </w:rPr>
        <w:t>Benefícios estratégicos</w:t>
      </w:r>
      <w:bookmarkEnd w:id="29"/>
    </w:p>
    <w:p w14:paraId="74B4A478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Implementar o Serviço Gerenciado de </w:t>
      </w:r>
      <w:proofErr w:type="spellStart"/>
      <w:r w:rsidRPr="00D02B9A">
        <w:rPr>
          <w:rFonts w:eastAsia="Calibri" w:cs="Segoe UI Light"/>
          <w:lang w:eastAsia="en-US"/>
        </w:rPr>
        <w:t>Endpoint</w:t>
      </w:r>
      <w:proofErr w:type="spellEnd"/>
      <w:r w:rsidRPr="00D02B9A">
        <w:rPr>
          <w:rFonts w:eastAsia="Calibri" w:cs="Segoe UI Light"/>
          <w:lang w:eastAsia="en-US"/>
        </w:rPr>
        <w:t xml:space="preserve"> da Solo Iron proporciona benefícios tangíveis para a organização:</w:t>
      </w:r>
    </w:p>
    <w:p w14:paraId="511678CB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Aumento contínuo da maturidade de segurança graças a ciclos de melhoria estruturados e medição objetiva;</w:t>
      </w:r>
    </w:p>
    <w:p w14:paraId="6624DE7B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Redução da superfície de ataque e do risco cibernético, com controles robustos, segmentação, acesso mínimo e vulnerabilidades gerenciadas;</w:t>
      </w:r>
    </w:p>
    <w:p w14:paraId="2F78139D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 xml:space="preserve">Visibilidade executiva e rastreabilidade, com relatórios claros, </w:t>
      </w:r>
      <w:proofErr w:type="spellStart"/>
      <w:r w:rsidRPr="00D02B9A">
        <w:rPr>
          <w:rFonts w:eastAsia="Calibri" w:cs="Segoe UI Light"/>
          <w:lang w:eastAsia="en-US"/>
        </w:rPr>
        <w:t>OKRs</w:t>
      </w:r>
      <w:proofErr w:type="spellEnd"/>
      <w:r w:rsidRPr="00D02B9A">
        <w:rPr>
          <w:rFonts w:eastAsia="Calibri" w:cs="Segoe UI Light"/>
          <w:lang w:eastAsia="en-US"/>
        </w:rPr>
        <w:t xml:space="preserve"> transparentes e indicadores alinhados ao negócio;</w:t>
      </w:r>
    </w:p>
    <w:p w14:paraId="2C953C56" w14:textId="77777777" w:rsidR="00D02B9A" w:rsidRPr="00D02B9A" w:rsidRDefault="00D02B9A" w:rsidP="00D02B9A">
      <w:pPr>
        <w:numPr>
          <w:ilvl w:val="0"/>
          <w:numId w:val="4"/>
        </w:numPr>
        <w:spacing w:before="0" w:after="120" w:line="259" w:lineRule="auto"/>
        <w:ind w:left="960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Eficiência operacional, pois a automação e a governança reduzem incidentes, otimizam recursos e liberam equipes internas para atividades estratégicas;</w:t>
      </w:r>
    </w:p>
    <w:p w14:paraId="743881F6" w14:textId="77777777" w:rsidR="00D02B9A" w:rsidRPr="00D02B9A" w:rsidRDefault="00D02B9A" w:rsidP="00D02B9A">
      <w:pPr>
        <w:spacing w:before="0" w:after="120" w:line="259" w:lineRule="auto"/>
        <w:jc w:val="both"/>
        <w:rPr>
          <w:rFonts w:eastAsia="Calibri" w:cs="Segoe UI Light"/>
          <w:lang w:eastAsia="en-US"/>
        </w:rPr>
      </w:pPr>
      <w:r w:rsidRPr="00D02B9A">
        <w:rPr>
          <w:rFonts w:eastAsia="Calibri" w:cs="Segoe UI Light"/>
          <w:lang w:eastAsia="en-US"/>
        </w:rPr>
        <w:t>Conformidade com normas, auditorias e certificações, reforçando a credibilidade da organização perante clientes, parceiros e órgãos reguladores</w:t>
      </w:r>
    </w:p>
    <w:p w14:paraId="44E15D58" w14:textId="36DEA896" w:rsidR="00D63C58" w:rsidRDefault="00D63C58" w:rsidP="00D02B9A">
      <w:pPr>
        <w:jc w:val="both"/>
      </w:pPr>
    </w:p>
    <w:p w14:paraId="14C6C327" w14:textId="77777777" w:rsidR="00D63C58" w:rsidRDefault="00D63C58" w:rsidP="00D02B9A"/>
    <w:sectPr w:rsidR="00D63C58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F3495E4"/>
    <w:lvl w:ilvl="0">
      <w:numFmt w:val="bullet"/>
      <w:lvlText w:val="•"/>
      <w:lvlJc w:val="left"/>
      <w:pPr>
        <w:ind w:left="1320" w:hanging="480"/>
      </w:pPr>
    </w:lvl>
    <w:lvl w:ilvl="1">
      <w:numFmt w:val="bullet"/>
      <w:lvlText w:val="–"/>
      <w:lvlJc w:val="left"/>
      <w:pPr>
        <w:ind w:left="2040" w:hanging="480"/>
      </w:pPr>
    </w:lvl>
    <w:lvl w:ilvl="2">
      <w:numFmt w:val="bullet"/>
      <w:lvlText w:val="•"/>
      <w:lvlJc w:val="left"/>
      <w:pPr>
        <w:ind w:left="2760" w:hanging="480"/>
      </w:pPr>
    </w:lvl>
    <w:lvl w:ilvl="3">
      <w:numFmt w:val="bullet"/>
      <w:lvlText w:val="–"/>
      <w:lvlJc w:val="left"/>
      <w:pPr>
        <w:ind w:left="3480" w:hanging="480"/>
      </w:pPr>
    </w:lvl>
    <w:lvl w:ilvl="4">
      <w:numFmt w:val="bullet"/>
      <w:lvlText w:val="•"/>
      <w:lvlJc w:val="left"/>
      <w:pPr>
        <w:ind w:left="4200" w:hanging="480"/>
      </w:pPr>
    </w:lvl>
    <w:lvl w:ilvl="5">
      <w:numFmt w:val="bullet"/>
      <w:lvlText w:val="–"/>
      <w:lvlJc w:val="left"/>
      <w:pPr>
        <w:ind w:left="4920" w:hanging="480"/>
      </w:pPr>
    </w:lvl>
    <w:lvl w:ilvl="6">
      <w:numFmt w:val="bullet"/>
      <w:lvlText w:val="•"/>
      <w:lvlJc w:val="left"/>
      <w:pPr>
        <w:ind w:left="5640" w:hanging="480"/>
      </w:pPr>
    </w:lvl>
    <w:lvl w:ilvl="7">
      <w:numFmt w:val="bullet"/>
      <w:lvlText w:val="–"/>
      <w:lvlJc w:val="left"/>
      <w:pPr>
        <w:ind w:left="6360" w:hanging="480"/>
      </w:pPr>
    </w:lvl>
    <w:lvl w:ilvl="8">
      <w:numFmt w:val="bullet"/>
      <w:lvlText w:val="•"/>
      <w:lvlJc w:val="left"/>
      <w:pPr>
        <w:ind w:left="7080" w:hanging="480"/>
      </w:pPr>
    </w:lvl>
  </w:abstractNum>
  <w:abstractNum w:abstractNumId="1" w15:restartNumberingAfterBreak="0">
    <w:nsid w:val="05147D2E"/>
    <w:multiLevelType w:val="hybridMultilevel"/>
    <w:tmpl w:val="22A445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34F80"/>
    <w:multiLevelType w:val="hybridMultilevel"/>
    <w:tmpl w:val="00925D52"/>
    <w:lvl w:ilvl="0" w:tplc="D8969D6E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4605E"/>
    <w:multiLevelType w:val="hybridMultilevel"/>
    <w:tmpl w:val="FD22C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34D5A"/>
    <w:multiLevelType w:val="hybridMultilevel"/>
    <w:tmpl w:val="8FBA4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86C12"/>
    <w:multiLevelType w:val="hybridMultilevel"/>
    <w:tmpl w:val="88CEB64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7" w15:restartNumberingAfterBreak="0">
    <w:nsid w:val="4EC21E99"/>
    <w:multiLevelType w:val="hybridMultilevel"/>
    <w:tmpl w:val="1A8E06D0"/>
    <w:lvl w:ilvl="0" w:tplc="D8969D6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5CB5EB5"/>
    <w:multiLevelType w:val="hybridMultilevel"/>
    <w:tmpl w:val="06D09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332A3"/>
    <w:multiLevelType w:val="hybridMultilevel"/>
    <w:tmpl w:val="C5DE76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8535EC"/>
    <w:multiLevelType w:val="hybridMultilevel"/>
    <w:tmpl w:val="C68438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86081C"/>
    <w:multiLevelType w:val="hybridMultilevel"/>
    <w:tmpl w:val="7D7094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761691">
    <w:abstractNumId w:val="8"/>
    <w:lvlOverride w:ilvl="0">
      <w:startOverride w:val="1"/>
    </w:lvlOverride>
  </w:num>
  <w:num w:numId="2" w16cid:durableId="878474467">
    <w:abstractNumId w:val="6"/>
    <w:lvlOverride w:ilvl="0">
      <w:startOverride w:val="1"/>
    </w:lvlOverride>
  </w:num>
  <w:num w:numId="3" w16cid:durableId="2068529083">
    <w:abstractNumId w:val="5"/>
  </w:num>
  <w:num w:numId="4" w16cid:durableId="372581197">
    <w:abstractNumId w:val="0"/>
  </w:num>
  <w:num w:numId="5" w16cid:durableId="911161036">
    <w:abstractNumId w:val="10"/>
  </w:num>
  <w:num w:numId="6" w16cid:durableId="1624649236">
    <w:abstractNumId w:val="2"/>
  </w:num>
  <w:num w:numId="7" w16cid:durableId="1523204075">
    <w:abstractNumId w:val="11"/>
  </w:num>
  <w:num w:numId="8" w16cid:durableId="951283085">
    <w:abstractNumId w:val="3"/>
  </w:num>
  <w:num w:numId="9" w16cid:durableId="1245991450">
    <w:abstractNumId w:val="1"/>
  </w:num>
  <w:num w:numId="10" w16cid:durableId="1916671272">
    <w:abstractNumId w:val="9"/>
  </w:num>
  <w:num w:numId="11" w16cid:durableId="1502426575">
    <w:abstractNumId w:val="12"/>
  </w:num>
  <w:num w:numId="12" w16cid:durableId="1521747594">
    <w:abstractNumId w:val="4"/>
  </w:num>
  <w:num w:numId="13" w16cid:durableId="2069693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190627"/>
    <w:rsid w:val="001B6DA0"/>
    <w:rsid w:val="001D7912"/>
    <w:rsid w:val="00372610"/>
    <w:rsid w:val="004D52B5"/>
    <w:rsid w:val="00563F84"/>
    <w:rsid w:val="006C65BF"/>
    <w:rsid w:val="006F5F4A"/>
    <w:rsid w:val="00893080"/>
    <w:rsid w:val="008A13EA"/>
    <w:rsid w:val="008A4D77"/>
    <w:rsid w:val="00967380"/>
    <w:rsid w:val="009E6A9D"/>
    <w:rsid w:val="00AB7363"/>
    <w:rsid w:val="00B64523"/>
    <w:rsid w:val="00BD2E2F"/>
    <w:rsid w:val="00CA28F2"/>
    <w:rsid w:val="00D02B9A"/>
    <w:rsid w:val="00D6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paragraph" w:customStyle="1" w:styleId="FirstParagraph">
    <w:name w:val="First Paragraph"/>
    <w:basedOn w:val="Corpodetexto"/>
    <w:next w:val="Corpodetexto"/>
    <w:qFormat/>
    <w:rsid w:val="00D02B9A"/>
    <w:pPr>
      <w:spacing w:before="180" w:after="180"/>
    </w:pPr>
    <w:rPr>
      <w:rFonts w:ascii="Calibri" w:eastAsia="Calibri" w:hAnsi="Calibri" w:cs="Times New Roman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D02B9A"/>
    <w:pPr>
      <w:spacing w:before="0" w:after="200"/>
    </w:pPr>
    <w:rPr>
      <w:rFonts w:ascii="Calibri" w:eastAsia="Calibri" w:hAnsi="Calibri" w:cs="Times New Roman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odetexto">
    <w:name w:val="Body Text"/>
    <w:basedOn w:val="Normal"/>
    <w:link w:val="CorpodetextoChar"/>
    <w:uiPriority w:val="99"/>
    <w:semiHidden/>
    <w:unhideWhenUsed/>
    <w:rsid w:val="00D02B9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2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3531</Words>
  <Characters>19073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22559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8</cp:revision>
  <dcterms:created xsi:type="dcterms:W3CDTF">2025-12-03T20:43:00Z</dcterms:created>
  <dcterms:modified xsi:type="dcterms:W3CDTF">2025-12-26T18:53:00Z</dcterms:modified>
</cp:coreProperties>
</file>