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21370" w14:textId="77777777" w:rsidR="00D63C58" w:rsidRDefault="00D63C58">
      <w:pPr>
        <w:sectPr w:rsidR="00D63C58">
          <w:type w:val="continuous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tbl>
      <w:tblPr>
        <w:tblW w:w="0" w:type="auto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dashed" w:sz="1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626"/>
      </w:tblGrid>
      <w:tr w:rsidR="00D63C58" w14:paraId="49E78D1D" w14:textId="77777777">
        <w:tc>
          <w:tcPr>
            <w:tcW w:w="3387" w:type="dx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06089F9" w14:textId="77777777" w:rsidR="00D63C58" w:rsidRDefault="008D593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8395BE7" wp14:editId="3B877141">
                  <wp:extent cx="1905000" cy="1710044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7100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9A10F0" w14:textId="77777777" w:rsidR="00D63C58" w:rsidRDefault="00D63C58">
            <w:pPr>
              <w:jc w:val="center"/>
            </w:pPr>
          </w:p>
          <w:p w14:paraId="2B88AE37" w14:textId="77777777" w:rsidR="00D63C58" w:rsidRDefault="008D593A">
            <w:pPr>
              <w:pStyle w:val="Ttulo1"/>
            </w:pPr>
            <w:r>
              <w:rPr>
                <w:b/>
                <w:bCs/>
                <w:color w:val="225091"/>
              </w:rPr>
              <w:t>Solo Iron</w:t>
            </w:r>
          </w:p>
          <w:p w14:paraId="35904474" w14:textId="77777777" w:rsidR="00D63C58" w:rsidRDefault="008D593A">
            <w:r>
              <w:rPr>
                <w:color w:val="225091"/>
              </w:rPr>
              <w:t xml:space="preserve">Rod. Dep. João Leopoldo </w:t>
            </w:r>
            <w:proofErr w:type="spellStart"/>
            <w:r>
              <w:rPr>
                <w:color w:val="225091"/>
              </w:rPr>
              <w:t>Jacomel</w:t>
            </w:r>
            <w:proofErr w:type="spellEnd"/>
            <w:r>
              <w:rPr>
                <w:color w:val="225091"/>
              </w:rPr>
              <w:t>, 12162</w:t>
            </w:r>
          </w:p>
          <w:p w14:paraId="7A9EF320" w14:textId="77777777" w:rsidR="00D63C58" w:rsidRDefault="008D593A">
            <w:r>
              <w:rPr>
                <w:color w:val="225091"/>
              </w:rPr>
              <w:t>Centro, Pinhais</w:t>
            </w:r>
          </w:p>
        </w:tc>
        <w:tc>
          <w:tcPr>
            <w:tcW w:w="5851" w:type="dx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EE1FC6D" w14:textId="77777777" w:rsidR="00D63C58" w:rsidRDefault="008D593A">
            <w:pPr>
              <w:pStyle w:val="Ttulo1"/>
              <w:jc w:val="center"/>
            </w:pPr>
            <w:r>
              <w:rPr>
                <w:color w:val="225091"/>
              </w:rPr>
              <w:t>SOW-Declaração de Serviço</w:t>
            </w:r>
          </w:p>
          <w:p w14:paraId="7E9DA75A" w14:textId="77777777" w:rsidR="00D63C58" w:rsidRDefault="00D63C58">
            <w:pPr>
              <w:jc w:val="center"/>
            </w:pPr>
          </w:p>
          <w:p w14:paraId="012A2C06" w14:textId="77777777" w:rsidR="00D63C58" w:rsidRDefault="008D593A">
            <w:pPr>
              <w:jc w:val="center"/>
            </w:pPr>
            <w:r>
              <w:rPr>
                <w:color w:val="225091"/>
              </w:rPr>
              <w:t xml:space="preserve">Projeto de Implementação ou Migração de Sistema de Proteção de </w:t>
            </w:r>
            <w:proofErr w:type="spellStart"/>
            <w:r>
              <w:rPr>
                <w:color w:val="225091"/>
              </w:rPr>
              <w:t>Endpoints</w:t>
            </w:r>
            <w:proofErr w:type="spellEnd"/>
          </w:p>
        </w:tc>
      </w:tr>
    </w:tbl>
    <w:p w14:paraId="531D6E72" w14:textId="77777777" w:rsidR="00D63C58" w:rsidRDefault="00D63C58">
      <w:pPr>
        <w:sectPr w:rsidR="00D63C58">
          <w:type w:val="continuous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2B22F9B6" w14:textId="2B2110C4" w:rsidR="00D63C58" w:rsidRDefault="008D593A">
      <w:pPr>
        <w:pStyle w:val="Ttulo1"/>
      </w:pPr>
      <w:r>
        <w:rPr>
          <w:color w:val="225091"/>
        </w:rPr>
        <w:t>Objetivo</w:t>
      </w:r>
    </w:p>
    <w:p w14:paraId="77D27CFA" w14:textId="783090C3" w:rsidR="00D63C58" w:rsidRDefault="008D593A" w:rsidP="00AB7363">
      <w:pPr>
        <w:jc w:val="both"/>
      </w:pPr>
      <w:r>
        <w:t>Este documento tem por objetivo definir a Declaração de Serviço do tipo </w:t>
      </w:r>
      <w:r>
        <w:rPr>
          <w:b/>
          <w:bCs/>
        </w:rPr>
        <w:t>projeto</w:t>
      </w:r>
      <w:r>
        <w:t>, caracterizado por possuir início, meio e fim claramente estabelecidos, com escopo delimitado e resultados específicos a serem alcançados. Os projetos são conduzidos com base em uma metodologia definida de gestão e execução, garantindo planejamento estruturado, acompanhamento sistemático e controle de riscos.</w:t>
      </w:r>
    </w:p>
    <w:p w14:paraId="6111760F" w14:textId="77777777" w:rsidR="00D63C58" w:rsidRDefault="008D593A" w:rsidP="00AB7363">
      <w:pPr>
        <w:jc w:val="both"/>
      </w:pPr>
      <w:r>
        <w:t>Cada iniciativa é gerenciada por um </w:t>
      </w:r>
      <w:r>
        <w:rPr>
          <w:b/>
          <w:bCs/>
        </w:rPr>
        <w:t>Project Manager (PM)</w:t>
      </w:r>
      <w:r>
        <w:t> ou pelo </w:t>
      </w:r>
      <w:r>
        <w:rPr>
          <w:b/>
          <w:bCs/>
        </w:rPr>
        <w:t>gestor da equipe responsável</w:t>
      </w:r>
      <w:r>
        <w:t>, conforme o porte e a natureza do projeto, contando sempre com uma </w:t>
      </w:r>
      <w:r>
        <w:rPr>
          <w:b/>
          <w:bCs/>
        </w:rPr>
        <w:t>equipe de especialistas</w:t>
      </w:r>
      <w:r>
        <w:t>, que pode ser multidisciplinar, reunindo as competências técnicas e de negócio necessárias. A gestão de projetos é responsável por elaborar e acompanhar o </w:t>
      </w:r>
      <w:r>
        <w:rPr>
          <w:b/>
          <w:bCs/>
        </w:rPr>
        <w:t>cronograma</w:t>
      </w:r>
      <w:r>
        <w:t>, gerir </w:t>
      </w:r>
      <w:r>
        <w:rPr>
          <w:b/>
          <w:bCs/>
        </w:rPr>
        <w:t>prazos</w:t>
      </w:r>
      <w:r>
        <w:t> e </w:t>
      </w:r>
      <w:r>
        <w:rPr>
          <w:b/>
          <w:bCs/>
        </w:rPr>
        <w:t>custos</w:t>
      </w:r>
      <w:r>
        <w:t>, coordenar recursos, registrar e tratar </w:t>
      </w:r>
      <w:r>
        <w:rPr>
          <w:b/>
          <w:bCs/>
        </w:rPr>
        <w:t>riscos e impedimentos</w:t>
      </w:r>
      <w:r>
        <w:t>, bem como produzir </w:t>
      </w:r>
      <w:r>
        <w:rPr>
          <w:b/>
          <w:bCs/>
        </w:rPr>
        <w:t xml:space="preserve">status </w:t>
      </w:r>
      <w:proofErr w:type="spellStart"/>
      <w:r>
        <w:rPr>
          <w:b/>
          <w:bCs/>
        </w:rPr>
        <w:t>reports</w:t>
      </w:r>
      <w:proofErr w:type="spellEnd"/>
      <w:r>
        <w:t> periódicos e conduzir os rituais de governança necessários para assegurar a en</w:t>
      </w:r>
      <w:r>
        <w:t>trega do resultado esperado com qualidade, previsibilidade e alinhamento aos objetivos estabelecidos.</w:t>
      </w:r>
    </w:p>
    <w:p w14:paraId="75EB0539" w14:textId="77777777" w:rsidR="00D63C58" w:rsidRDefault="008D593A">
      <w:pPr>
        <w:pStyle w:val="Ttulo1"/>
      </w:pPr>
      <w:r>
        <w:rPr>
          <w:color w:val="225091"/>
        </w:rPr>
        <w:t>Definição de Projeto</w:t>
      </w:r>
    </w:p>
    <w:p w14:paraId="54344B80" w14:textId="77777777" w:rsidR="00D63C58" w:rsidRDefault="008D593A" w:rsidP="00AB7363">
      <w:pPr>
        <w:jc w:val="both"/>
      </w:pPr>
      <w:r>
        <w:t>Para fins deste documento, considera-se </w:t>
      </w:r>
      <w:r>
        <w:rPr>
          <w:b/>
          <w:bCs/>
        </w:rPr>
        <w:t>projeto</w:t>
      </w:r>
      <w:r>
        <w:t> a etapa em que a Solo Iron implementa um ou vários </w:t>
      </w:r>
      <w:r>
        <w:rPr>
          <w:b/>
          <w:bCs/>
        </w:rPr>
        <w:t>produtos</w:t>
      </w:r>
      <w:r>
        <w:t>, </w:t>
      </w:r>
      <w:r>
        <w:rPr>
          <w:b/>
          <w:bCs/>
        </w:rPr>
        <w:t xml:space="preserve">soluções </w:t>
      </w:r>
      <w:r>
        <w:t>ou ambos, seja em um cenário de implantação do zero, seja em um cenário de substituição ou migração de tecnologias existentes. Trata-se de uma iniciativa com início, meio e fim definidos, escopo delimitado e objetivos claros de transformação ou evolução do ambiente de segurança do cliente.</w:t>
      </w:r>
    </w:p>
    <w:p w14:paraId="754147A3" w14:textId="77777777" w:rsidR="00D63C58" w:rsidRDefault="008D593A" w:rsidP="00AB7363">
      <w:pPr>
        <w:jc w:val="both"/>
      </w:pPr>
      <w:r>
        <w:t>O projeto pode </w:t>
      </w:r>
      <w:r>
        <w:rPr>
          <w:b/>
          <w:bCs/>
        </w:rPr>
        <w:t>anteceder a operação de serviço gerenciado</w:t>
      </w:r>
      <w:r>
        <w:t>, servindo como fase de implantação, consolidação e preparação do ambiente que será posteriormente operado pela Solo Iron, ou pode ser um </w:t>
      </w:r>
      <w:r>
        <w:rPr>
          <w:b/>
          <w:bCs/>
        </w:rPr>
        <w:t>projeto pontual e isolado</w:t>
      </w:r>
      <w:r>
        <w:t>, sem vínculo direto com contratos de operação contínua, focado exclusivamente na entrega daquele resultado específico acordado entre as partes.</w:t>
      </w:r>
    </w:p>
    <w:p w14:paraId="646625C2" w14:textId="77777777" w:rsidR="00D63C58" w:rsidRDefault="008D593A">
      <w:pPr>
        <w:pStyle w:val="Ttulo1"/>
      </w:pPr>
      <w:r>
        <w:rPr>
          <w:color w:val="225091"/>
        </w:rPr>
        <w:t>Escopos suportado</w:t>
      </w:r>
    </w:p>
    <w:p w14:paraId="3DC372BF" w14:textId="77777777" w:rsidR="00D63C58" w:rsidRDefault="008D593A" w:rsidP="00AB7363">
      <w:pPr>
        <w:jc w:val="both"/>
      </w:pPr>
      <w:r>
        <w:t xml:space="preserve">Esta </w:t>
      </w:r>
      <w:proofErr w:type="spellStart"/>
      <w:r>
        <w:t>SoW</w:t>
      </w:r>
      <w:proofErr w:type="spellEnd"/>
      <w:r>
        <w:t xml:space="preserve"> de Projetos de Proteção </w:t>
      </w:r>
      <w:proofErr w:type="spellStart"/>
      <w:r>
        <w:t>Endpoint</w:t>
      </w:r>
      <w:proofErr w:type="spellEnd"/>
      <w:r>
        <w:t xml:space="preserve"> abrange iniciativas de </w:t>
      </w:r>
      <w:r>
        <w:rPr>
          <w:b/>
          <w:bCs/>
        </w:rPr>
        <w:t>implementação do zero</w:t>
      </w:r>
      <w:r>
        <w:t> ou </w:t>
      </w:r>
      <w:r>
        <w:rPr>
          <w:b/>
          <w:bCs/>
        </w:rPr>
        <w:t>substituição/migração</w:t>
      </w:r>
      <w:r>
        <w:t> de soluções de EDR/EPP em ambientes corporativos, contemplando diferentes cenários de maturidade, fabricantes e topologias. De forma geral, os escopos suportados incluem, mas não se limitam a:</w:t>
      </w:r>
    </w:p>
    <w:p w14:paraId="0E15D91D" w14:textId="77777777" w:rsidR="00D63C58" w:rsidRDefault="008D593A" w:rsidP="00AB7363">
      <w:pPr>
        <w:pStyle w:val="PargrafodaLista"/>
        <w:numPr>
          <w:ilvl w:val="0"/>
          <w:numId w:val="2"/>
        </w:numPr>
        <w:jc w:val="both"/>
      </w:pPr>
      <w:r>
        <w:rPr>
          <w:b/>
          <w:bCs/>
        </w:rPr>
        <w:t>Implantação Inicial de Plataforma de EDR/EPP</w:t>
      </w:r>
    </w:p>
    <w:p w14:paraId="7736EB33" w14:textId="77777777" w:rsidR="00D63C58" w:rsidRDefault="008D593A" w:rsidP="00AB7363">
      <w:pPr>
        <w:pStyle w:val="PargrafodaLista"/>
        <w:numPr>
          <w:ilvl w:val="1"/>
          <w:numId w:val="1"/>
        </w:numPr>
        <w:jc w:val="both"/>
      </w:pPr>
      <w:r>
        <w:t xml:space="preserve">Implementação de solução de proteção de </w:t>
      </w:r>
      <w:proofErr w:type="spellStart"/>
      <w:r>
        <w:t>endpoints</w:t>
      </w:r>
      <w:proofErr w:type="spellEnd"/>
      <w:r>
        <w:t xml:space="preserve"> em ambiente que ainda não possui EDR/EPP corporativo padronizado.</w:t>
      </w:r>
    </w:p>
    <w:p w14:paraId="10E9F02D" w14:textId="77777777" w:rsidR="00D63C58" w:rsidRDefault="008D593A" w:rsidP="00AB7363">
      <w:pPr>
        <w:pStyle w:val="PargrafodaLista"/>
        <w:numPr>
          <w:ilvl w:val="1"/>
          <w:numId w:val="1"/>
        </w:numPr>
        <w:jc w:val="both"/>
      </w:pPr>
      <w:r>
        <w:t>Definição de políticas iniciais de proteção, grupos de dispositivos e perfis de segurança.</w:t>
      </w:r>
    </w:p>
    <w:p w14:paraId="79AFB05B" w14:textId="77777777" w:rsidR="00D63C58" w:rsidRDefault="008D593A" w:rsidP="00AB7363">
      <w:pPr>
        <w:pStyle w:val="PargrafodaLista"/>
        <w:numPr>
          <w:ilvl w:val="1"/>
          <w:numId w:val="1"/>
        </w:numPr>
        <w:jc w:val="both"/>
      </w:pPr>
      <w:r>
        <w:t>Configuração de console de gerenciamento, agentes e conectores necessários.</w:t>
      </w:r>
    </w:p>
    <w:p w14:paraId="640D943C" w14:textId="77777777" w:rsidR="00D63C58" w:rsidRDefault="008D593A" w:rsidP="00AB7363">
      <w:pPr>
        <w:pStyle w:val="PargrafodaLista"/>
        <w:numPr>
          <w:ilvl w:val="0"/>
          <w:numId w:val="2"/>
        </w:numPr>
        <w:jc w:val="both"/>
      </w:pPr>
      <w:r>
        <w:rPr>
          <w:b/>
          <w:bCs/>
        </w:rPr>
        <w:t>Substituição de Antivírus/EDR/EPP Legado</w:t>
      </w:r>
    </w:p>
    <w:p w14:paraId="77FCA154" w14:textId="77777777" w:rsidR="00D63C58" w:rsidRDefault="008D593A" w:rsidP="00AB7363">
      <w:pPr>
        <w:pStyle w:val="PargrafodaLista"/>
        <w:numPr>
          <w:ilvl w:val="1"/>
          <w:numId w:val="1"/>
        </w:numPr>
        <w:jc w:val="both"/>
      </w:pPr>
      <w:r>
        <w:t>Projetos de migração de solução de antivírus/EDR/EPP existente para uma nova plataforma.</w:t>
      </w:r>
    </w:p>
    <w:p w14:paraId="31C6040F" w14:textId="77777777" w:rsidR="00D63C58" w:rsidRDefault="008D593A" w:rsidP="00AB7363">
      <w:pPr>
        <w:pStyle w:val="PargrafodaLista"/>
        <w:numPr>
          <w:ilvl w:val="1"/>
          <w:numId w:val="1"/>
        </w:numPr>
        <w:jc w:val="both"/>
      </w:pPr>
      <w:r>
        <w:t>Estratégias de desinstalação, coexistência temporária e implantação do novo agente, minimizando impacto para usuários e operações.</w:t>
      </w:r>
    </w:p>
    <w:p w14:paraId="1496868C" w14:textId="77777777" w:rsidR="00D63C58" w:rsidRDefault="008D593A" w:rsidP="00AB7363">
      <w:pPr>
        <w:pStyle w:val="PargrafodaLista"/>
        <w:numPr>
          <w:ilvl w:val="1"/>
          <w:numId w:val="1"/>
        </w:numPr>
        <w:jc w:val="both"/>
      </w:pPr>
      <w:r>
        <w:t>Planejamento de janelas de mudança, priorização por criticidade de ativos e segmentos de rede.</w:t>
      </w:r>
    </w:p>
    <w:p w14:paraId="6DB46D31" w14:textId="77777777" w:rsidR="00D63C58" w:rsidRDefault="008D593A" w:rsidP="00AB7363">
      <w:pPr>
        <w:pStyle w:val="PargrafodaLista"/>
        <w:numPr>
          <w:ilvl w:val="0"/>
          <w:numId w:val="2"/>
        </w:numPr>
        <w:jc w:val="both"/>
      </w:pPr>
      <w:r>
        <w:rPr>
          <w:b/>
          <w:bCs/>
        </w:rPr>
        <w:t>Expansão de Cobertura e Padronização</w:t>
      </w:r>
    </w:p>
    <w:p w14:paraId="3DCDE3D1" w14:textId="77777777" w:rsidR="00D63C58" w:rsidRDefault="008D593A" w:rsidP="00AB7363">
      <w:pPr>
        <w:pStyle w:val="PargrafodaLista"/>
        <w:numPr>
          <w:ilvl w:val="1"/>
          <w:numId w:val="1"/>
        </w:numPr>
        <w:jc w:val="both"/>
      </w:pPr>
      <w:r>
        <w:t>Ampliação da cobertura de proteção para novas unidades, filiais, regiões ou grupos de usuários.</w:t>
      </w:r>
    </w:p>
    <w:p w14:paraId="1EA99BE0" w14:textId="77777777" w:rsidR="00D63C58" w:rsidRDefault="008D593A" w:rsidP="00AB7363">
      <w:pPr>
        <w:pStyle w:val="PargrafodaLista"/>
        <w:numPr>
          <w:ilvl w:val="1"/>
          <w:numId w:val="1"/>
        </w:numPr>
        <w:jc w:val="both"/>
      </w:pPr>
      <w:r>
        <w:t>Padronização de políticas de proteção entre diferentes ambientes (</w:t>
      </w:r>
      <w:proofErr w:type="spellStart"/>
      <w:r>
        <w:t>on-premises</w:t>
      </w:r>
      <w:proofErr w:type="spellEnd"/>
      <w:r>
        <w:t>, cloud, híbrido).</w:t>
      </w:r>
    </w:p>
    <w:p w14:paraId="6BCD96C5" w14:textId="77777777" w:rsidR="00D63C58" w:rsidRDefault="008D593A" w:rsidP="00AB7363">
      <w:pPr>
        <w:pStyle w:val="PargrafodaLista"/>
        <w:numPr>
          <w:ilvl w:val="1"/>
          <w:numId w:val="1"/>
        </w:numPr>
        <w:jc w:val="both"/>
      </w:pPr>
      <w:r>
        <w:t xml:space="preserve">Inclusão de novos sistemas operacionais suportados (Windows, Linux, </w:t>
      </w:r>
      <w:proofErr w:type="spellStart"/>
      <w:r>
        <w:t>macOS</w:t>
      </w:r>
      <w:proofErr w:type="spellEnd"/>
      <w:r>
        <w:t xml:space="preserve">, VDI, servidores </w:t>
      </w:r>
      <w:proofErr w:type="gramStart"/>
      <w:r>
        <w:t>críticos, etc.</w:t>
      </w:r>
      <w:proofErr w:type="gramEnd"/>
      <w:r>
        <w:t>).</w:t>
      </w:r>
    </w:p>
    <w:p w14:paraId="491DFED3" w14:textId="77777777" w:rsidR="00D63C58" w:rsidRDefault="008D593A" w:rsidP="00AB7363">
      <w:pPr>
        <w:pStyle w:val="PargrafodaLista"/>
        <w:numPr>
          <w:ilvl w:val="0"/>
          <w:numId w:val="2"/>
        </w:numPr>
        <w:jc w:val="both"/>
      </w:pPr>
      <w:r>
        <w:rPr>
          <w:b/>
          <w:bCs/>
        </w:rPr>
        <w:t xml:space="preserve">Revisão de Arquitetura e </w:t>
      </w:r>
      <w:proofErr w:type="spellStart"/>
      <w:r>
        <w:rPr>
          <w:b/>
          <w:bCs/>
        </w:rPr>
        <w:t>Hardening</w:t>
      </w:r>
      <w:proofErr w:type="spellEnd"/>
      <w:r>
        <w:rPr>
          <w:b/>
          <w:bCs/>
        </w:rPr>
        <w:t xml:space="preserve"> de Políticas</w:t>
      </w:r>
    </w:p>
    <w:p w14:paraId="1EC5B6DA" w14:textId="77777777" w:rsidR="00D63C58" w:rsidRDefault="008D593A" w:rsidP="00AB7363">
      <w:pPr>
        <w:pStyle w:val="PargrafodaLista"/>
        <w:numPr>
          <w:ilvl w:val="1"/>
          <w:numId w:val="1"/>
        </w:numPr>
        <w:jc w:val="both"/>
      </w:pPr>
      <w:r>
        <w:t xml:space="preserve">Revisão da arquitetura atual de proteção de </w:t>
      </w:r>
      <w:proofErr w:type="spellStart"/>
      <w:r>
        <w:t>endpoint</w:t>
      </w:r>
      <w:proofErr w:type="spellEnd"/>
      <w:r>
        <w:t>, topologia de consoles, proxies, gateways e integrações.</w:t>
      </w:r>
    </w:p>
    <w:p w14:paraId="220486A3" w14:textId="77777777" w:rsidR="00D63C58" w:rsidRDefault="008D593A" w:rsidP="00AB7363">
      <w:pPr>
        <w:pStyle w:val="PargrafodaLista"/>
        <w:numPr>
          <w:ilvl w:val="1"/>
          <w:numId w:val="1"/>
        </w:numPr>
        <w:jc w:val="both"/>
      </w:pPr>
      <w:r>
        <w:lastRenderedPageBreak/>
        <w:t>Ajuste e fortalecimento das políticas de EDR/EPP (</w:t>
      </w:r>
      <w:proofErr w:type="spellStart"/>
      <w:r>
        <w:t>hardening</w:t>
      </w:r>
      <w:proofErr w:type="spellEnd"/>
      <w:r>
        <w:t>), alinhando configurações a boas práticas, frameworks de segurança e requisitos do cliente.</w:t>
      </w:r>
    </w:p>
    <w:p w14:paraId="22ADF2F5" w14:textId="77777777" w:rsidR="00D63C58" w:rsidRDefault="008D593A" w:rsidP="00AB7363">
      <w:pPr>
        <w:pStyle w:val="PargrafodaLista"/>
        <w:numPr>
          <w:ilvl w:val="1"/>
          <w:numId w:val="1"/>
        </w:numPr>
        <w:jc w:val="both"/>
      </w:pPr>
      <w:r>
        <w:t>Criação ou ajuste de perfis diferenciados por tipo de ativo (usuário final, servidor, dispositivos críticos, ambientes sensíveis).</w:t>
      </w:r>
    </w:p>
    <w:p w14:paraId="064E6F62" w14:textId="77777777" w:rsidR="00D63C58" w:rsidRDefault="008D593A" w:rsidP="00AB7363">
      <w:pPr>
        <w:pStyle w:val="PargrafodaLista"/>
        <w:numPr>
          <w:ilvl w:val="0"/>
          <w:numId w:val="2"/>
        </w:numPr>
        <w:jc w:val="both"/>
      </w:pPr>
      <w:r>
        <w:rPr>
          <w:b/>
          <w:bCs/>
        </w:rPr>
        <w:t>Integrações com SIEM, SOC e Demais Controles de Segurança</w:t>
      </w:r>
    </w:p>
    <w:p w14:paraId="0A13B5EE" w14:textId="77777777" w:rsidR="00D63C58" w:rsidRDefault="008D593A" w:rsidP="00AB7363">
      <w:pPr>
        <w:pStyle w:val="PargrafodaLista"/>
        <w:numPr>
          <w:ilvl w:val="1"/>
          <w:numId w:val="1"/>
        </w:numPr>
        <w:jc w:val="both"/>
      </w:pPr>
      <w:r>
        <w:t>Integração da solução de EDR/EPP com </w:t>
      </w:r>
      <w:r>
        <w:rPr>
          <w:b/>
          <w:bCs/>
        </w:rPr>
        <w:t>SIEM</w:t>
      </w:r>
      <w:r>
        <w:t>, </w:t>
      </w:r>
      <w:r>
        <w:rPr>
          <w:b/>
          <w:bCs/>
        </w:rPr>
        <w:t>SOC</w:t>
      </w:r>
      <w:r>
        <w:t xml:space="preserve"> e outras plataformas de segurança (SOAR, ITSM, inventário, </w:t>
      </w:r>
      <w:proofErr w:type="gramStart"/>
      <w:r>
        <w:t>IAM, etc.</w:t>
      </w:r>
      <w:proofErr w:type="gramEnd"/>
      <w:r>
        <w:t>), quando aplicável.</w:t>
      </w:r>
    </w:p>
    <w:p w14:paraId="31372F33" w14:textId="77777777" w:rsidR="00D63C58" w:rsidRDefault="008D593A" w:rsidP="00AB7363">
      <w:pPr>
        <w:pStyle w:val="PargrafodaLista"/>
        <w:numPr>
          <w:ilvl w:val="1"/>
          <w:numId w:val="1"/>
        </w:numPr>
        <w:jc w:val="both"/>
      </w:pPr>
      <w:r>
        <w:t>Configuração de envio de logs, eventos e alertas.</w:t>
      </w:r>
    </w:p>
    <w:p w14:paraId="2D1A72CC" w14:textId="77777777" w:rsidR="00D63C58" w:rsidRDefault="008D593A" w:rsidP="00AB7363">
      <w:pPr>
        <w:pStyle w:val="PargrafodaLista"/>
        <w:numPr>
          <w:ilvl w:val="1"/>
          <w:numId w:val="1"/>
        </w:numPr>
        <w:jc w:val="both"/>
      </w:pPr>
      <w:r>
        <w:t>Ajustes necessários para garantir observabilidade e capacidade de resposta pela operação de segurança.</w:t>
      </w:r>
    </w:p>
    <w:p w14:paraId="6AB2C995" w14:textId="77777777" w:rsidR="00D63C58" w:rsidRDefault="008D593A" w:rsidP="00AB7363">
      <w:pPr>
        <w:pStyle w:val="PargrafodaLista"/>
        <w:numPr>
          <w:ilvl w:val="0"/>
          <w:numId w:val="2"/>
        </w:numPr>
        <w:jc w:val="both"/>
      </w:pPr>
      <w:r>
        <w:rPr>
          <w:b/>
          <w:bCs/>
        </w:rPr>
        <w:t>Projetos de Ajuste Pós-Aquisição de Licenças e Consolidação de Fabricantes</w:t>
      </w:r>
    </w:p>
    <w:p w14:paraId="67EC5249" w14:textId="77777777" w:rsidR="00D63C58" w:rsidRDefault="008D593A" w:rsidP="00AB7363">
      <w:pPr>
        <w:pStyle w:val="PargrafodaLista"/>
        <w:numPr>
          <w:ilvl w:val="1"/>
          <w:numId w:val="1"/>
        </w:numPr>
        <w:jc w:val="both"/>
      </w:pPr>
      <w:r>
        <w:t xml:space="preserve">Projetos focados em consolidar fabricantes, racionalizar contratos e alinhar o parque de </w:t>
      </w:r>
      <w:proofErr w:type="spellStart"/>
      <w:r>
        <w:t>endpoints</w:t>
      </w:r>
      <w:proofErr w:type="spellEnd"/>
      <w:r>
        <w:t xml:space="preserve"> ao fabricante padrão definido pelo cliente.</w:t>
      </w:r>
    </w:p>
    <w:p w14:paraId="701DAFB4" w14:textId="77777777" w:rsidR="00D63C58" w:rsidRDefault="008D593A" w:rsidP="00AB7363">
      <w:pPr>
        <w:pStyle w:val="PargrafodaLista"/>
        <w:numPr>
          <w:ilvl w:val="1"/>
          <w:numId w:val="1"/>
        </w:numPr>
        <w:jc w:val="both"/>
      </w:pPr>
      <w:r>
        <w:t>Adequação de escopo, licenças, perfis de uso e segmentação de políticas conforme a estratégia de proteção corporativa.</w:t>
      </w:r>
    </w:p>
    <w:p w14:paraId="3DEA8FE4" w14:textId="77777777" w:rsidR="00D63C58" w:rsidRDefault="008D593A" w:rsidP="00AB7363">
      <w:pPr>
        <w:pStyle w:val="PargrafodaLista"/>
        <w:numPr>
          <w:ilvl w:val="0"/>
          <w:numId w:val="2"/>
        </w:numPr>
        <w:jc w:val="both"/>
      </w:pPr>
      <w:r>
        <w:rPr>
          <w:b/>
          <w:bCs/>
        </w:rPr>
        <w:t>Projetos Pontuais de Melhoria ou Readequação</w:t>
      </w:r>
    </w:p>
    <w:p w14:paraId="6A9EEF46" w14:textId="77777777" w:rsidR="00D63C58" w:rsidRDefault="008D593A" w:rsidP="00AB7363">
      <w:pPr>
        <w:pStyle w:val="PargrafodaLista"/>
        <w:numPr>
          <w:ilvl w:val="1"/>
          <w:numId w:val="1"/>
        </w:numPr>
        <w:jc w:val="both"/>
      </w:pPr>
      <w:r>
        <w:t>Projetos específicos para correção de desvios de configuração, falhas de cobertura ou necessidade de readequação da solução a novas exigências regulatórias ou internas.</w:t>
      </w:r>
    </w:p>
    <w:p w14:paraId="6E4E3B46" w14:textId="77777777" w:rsidR="00D63C58" w:rsidRDefault="008D593A" w:rsidP="00AB7363">
      <w:pPr>
        <w:pStyle w:val="PargrafodaLista"/>
        <w:numPr>
          <w:ilvl w:val="1"/>
          <w:numId w:val="1"/>
        </w:numPr>
        <w:jc w:val="both"/>
      </w:pPr>
      <w:r>
        <w:t>Revisão de configurações críticas, validação de proteção em ativos sensíveis e ajustes finos em políticas já implantadas.</w:t>
      </w:r>
    </w:p>
    <w:p w14:paraId="4A44ED62" w14:textId="77777777" w:rsidR="00D63C58" w:rsidRDefault="008D593A" w:rsidP="00AB7363">
      <w:pPr>
        <w:jc w:val="both"/>
      </w:pPr>
      <w:r>
        <w:t xml:space="preserve">Cada projeto de Proteção </w:t>
      </w:r>
      <w:proofErr w:type="spellStart"/>
      <w:r>
        <w:t>Endpoint</w:t>
      </w:r>
      <w:proofErr w:type="spellEnd"/>
      <w:r>
        <w:t xml:space="preserve"> (EDR/EPP) será enquadrado em um ou mais dos escopos suportados acima, detalhado no </w:t>
      </w:r>
      <w:r>
        <w:rPr>
          <w:b/>
          <w:bCs/>
        </w:rPr>
        <w:t>Projeto Técnico</w:t>
      </w:r>
      <w:r>
        <w:t xml:space="preserve"> correspondente, incluindo quantidades de </w:t>
      </w:r>
      <w:proofErr w:type="spellStart"/>
      <w:r>
        <w:t>endpoints</w:t>
      </w:r>
      <w:proofErr w:type="spellEnd"/>
      <w:r>
        <w:t>, fabricantes envolvidos, ambientes atendidos, integrações previstas, premissas, prazos, esforço e demais parâmetros definidos no processo de pré-vendas e arquitetura.</w:t>
      </w:r>
    </w:p>
    <w:p w14:paraId="5153934E" w14:textId="77777777" w:rsidR="00D63C58" w:rsidRDefault="00D63C58"/>
    <w:p w14:paraId="0E46F4DA" w14:textId="77777777" w:rsidR="00D63C58" w:rsidRDefault="008D593A">
      <w:pPr>
        <w:pStyle w:val="Ttulo3"/>
      </w:pPr>
      <w:r>
        <w:rPr>
          <w:color w:val="225091"/>
        </w:rPr>
        <w:t>Soluções Suportadas</w:t>
      </w:r>
    </w:p>
    <w:p w14:paraId="532BF6AF" w14:textId="77777777" w:rsidR="00D63C58" w:rsidRDefault="008D593A" w:rsidP="00AB7363">
      <w:pPr>
        <w:jc w:val="both"/>
      </w:pPr>
      <w:r>
        <w:t xml:space="preserve">A Solo Iron executa projetos de implementação e substituição de plataformas de Proteção de </w:t>
      </w:r>
      <w:proofErr w:type="spellStart"/>
      <w:r>
        <w:t>Endpoint</w:t>
      </w:r>
      <w:proofErr w:type="spellEnd"/>
      <w:r>
        <w:t xml:space="preserve"> do tipo EDR/EPP com foco em fabricantes amplamente consolidados no mercado e suportados pelas equipes especializadas Iron.</w:t>
      </w:r>
    </w:p>
    <w:p w14:paraId="58A366D9" w14:textId="77777777" w:rsidR="00D63C58" w:rsidRDefault="008D593A" w:rsidP="00AB7363">
      <w:pPr>
        <w:jc w:val="both"/>
      </w:pPr>
      <w:r>
        <w:t>Como parte dos projetos de substituição, a equipe Iron também realiza a </w:t>
      </w:r>
      <w:r>
        <w:rPr>
          <w:b/>
          <w:bCs/>
        </w:rPr>
        <w:t>remoção de produtos legados</w:t>
      </w:r>
      <w:r>
        <w:t>, desde que exista </w:t>
      </w:r>
      <w:r>
        <w:rPr>
          <w:b/>
          <w:bCs/>
        </w:rPr>
        <w:t>viabilidade técnica para execução de forma automatizada e segura</w:t>
      </w:r>
      <w:r>
        <w:t>. Isso significa que o fabricante atual deve disponibilizar </w:t>
      </w:r>
      <w:r>
        <w:rPr>
          <w:b/>
          <w:bCs/>
        </w:rPr>
        <w:t>mecanismos de desinstalação em massa</w:t>
      </w:r>
      <w:r>
        <w:t xml:space="preserve"> (por exemplo, scripts oficiais, pacotes MSI/MSP, consoles de gestão com capacidade de remoção remota, ferramentas de </w:t>
      </w:r>
      <w:proofErr w:type="spellStart"/>
      <w:r>
        <w:t>deployment</w:t>
      </w:r>
      <w:proofErr w:type="spellEnd"/>
      <w:r>
        <w:t>/</w:t>
      </w:r>
      <w:proofErr w:type="spellStart"/>
      <w:r>
        <w:t>uninstall</w:t>
      </w:r>
      <w:proofErr w:type="spellEnd"/>
      <w:r>
        <w:t xml:space="preserve"> suportadas), reduzindo risco operacional e garantindo rastreabilidade do processo.</w:t>
      </w:r>
    </w:p>
    <w:p w14:paraId="0FAD736B" w14:textId="77777777" w:rsidR="00D63C58" w:rsidRDefault="008D593A" w:rsidP="00AB7363">
      <w:pPr>
        <w:jc w:val="both"/>
      </w:pPr>
      <w:r>
        <w:t>Na ausência desses meios formais, a remoção manual ou caso a caso poderá ser tratada como escopo específico, mediante análise de risco e esforço adicional.</w:t>
      </w:r>
    </w:p>
    <w:p w14:paraId="0C318885" w14:textId="77777777" w:rsidR="00D63C58" w:rsidRDefault="008D593A" w:rsidP="00AB7363">
      <w:pPr>
        <w:jc w:val="both"/>
      </w:pPr>
      <w:r>
        <w:t>Atualmente, as soluções de EDR/EPP </w:t>
      </w:r>
      <w:r>
        <w:rPr>
          <w:b/>
          <w:bCs/>
        </w:rPr>
        <w:t>explicitamente suportadas</w:t>
      </w:r>
      <w:r>
        <w:t> pela equipe Iron para projetos de implementação, migração ou substituição são:</w:t>
      </w:r>
    </w:p>
    <w:p w14:paraId="634F1614" w14:textId="77777777" w:rsidR="00D63C58" w:rsidRDefault="008D593A" w:rsidP="00AB7363">
      <w:pPr>
        <w:pStyle w:val="PargrafodaLista"/>
        <w:numPr>
          <w:ilvl w:val="0"/>
          <w:numId w:val="1"/>
        </w:numPr>
        <w:jc w:val="both"/>
      </w:pPr>
      <w:proofErr w:type="spellStart"/>
      <w:r>
        <w:rPr>
          <w:b/>
          <w:bCs/>
        </w:rPr>
        <w:t>CrowdStrike</w:t>
      </w:r>
      <w:proofErr w:type="spellEnd"/>
    </w:p>
    <w:p w14:paraId="6C0EED35" w14:textId="77777777" w:rsidR="00D63C58" w:rsidRDefault="008D593A" w:rsidP="00AB7363">
      <w:pPr>
        <w:pStyle w:val="PargrafodaLista"/>
        <w:numPr>
          <w:ilvl w:val="0"/>
          <w:numId w:val="1"/>
        </w:numPr>
        <w:jc w:val="both"/>
      </w:pPr>
      <w:proofErr w:type="spellStart"/>
      <w:r>
        <w:rPr>
          <w:b/>
          <w:bCs/>
        </w:rPr>
        <w:t>SentinelOne</w:t>
      </w:r>
      <w:proofErr w:type="spellEnd"/>
    </w:p>
    <w:p w14:paraId="13AEF255" w14:textId="77777777" w:rsidR="00D63C58" w:rsidRDefault="008D593A" w:rsidP="00AB7363">
      <w:pPr>
        <w:pStyle w:val="PargrafodaLista"/>
        <w:numPr>
          <w:ilvl w:val="0"/>
          <w:numId w:val="1"/>
        </w:numPr>
        <w:jc w:val="both"/>
      </w:pPr>
      <w:r>
        <w:rPr>
          <w:b/>
          <w:bCs/>
        </w:rPr>
        <w:t xml:space="preserve">Microsoft Defender for </w:t>
      </w:r>
      <w:proofErr w:type="spellStart"/>
      <w:r>
        <w:rPr>
          <w:b/>
          <w:bCs/>
        </w:rPr>
        <w:t>Endpoint</w:t>
      </w:r>
      <w:proofErr w:type="spellEnd"/>
      <w:r>
        <w:rPr>
          <w:b/>
          <w:bCs/>
        </w:rPr>
        <w:t>/Server</w:t>
      </w:r>
    </w:p>
    <w:p w14:paraId="399365E5" w14:textId="77777777" w:rsidR="00D63C58" w:rsidRDefault="008D593A" w:rsidP="00AB7363">
      <w:pPr>
        <w:pStyle w:val="PargrafodaLista"/>
        <w:numPr>
          <w:ilvl w:val="0"/>
          <w:numId w:val="1"/>
        </w:numPr>
        <w:jc w:val="both"/>
      </w:pPr>
      <w:r>
        <w:rPr>
          <w:b/>
          <w:bCs/>
        </w:rPr>
        <w:t xml:space="preserve">Kaspersky </w:t>
      </w:r>
      <w:proofErr w:type="spellStart"/>
      <w:r>
        <w:rPr>
          <w:b/>
          <w:bCs/>
        </w:rPr>
        <w:t>Endpoint</w:t>
      </w:r>
      <w:proofErr w:type="spellEnd"/>
      <w:r>
        <w:rPr>
          <w:b/>
          <w:bCs/>
        </w:rPr>
        <w:t xml:space="preserve"> Security</w:t>
      </w:r>
    </w:p>
    <w:p w14:paraId="66B8D2D0" w14:textId="77777777" w:rsidR="00D63C58" w:rsidRDefault="008D593A" w:rsidP="00AB7363">
      <w:pPr>
        <w:jc w:val="both"/>
      </w:pPr>
      <w:r>
        <w:t xml:space="preserve">Outros fabricantes ou cenários excepcionais poderão ser avaliados caso a caso pela equipe de Arquitetura e Serviços, respeitando as premissas de segurança, viabilidade técnica e qualidade de entrega estabelecidas nesta </w:t>
      </w:r>
      <w:proofErr w:type="spellStart"/>
      <w:r>
        <w:t>SoW</w:t>
      </w:r>
      <w:proofErr w:type="spellEnd"/>
      <w:r>
        <w:t>.</w:t>
      </w:r>
    </w:p>
    <w:p w14:paraId="5B7C607C" w14:textId="77777777" w:rsidR="00D63C58" w:rsidRDefault="00D63C58"/>
    <w:p w14:paraId="4D8E569A" w14:textId="77777777" w:rsidR="00D63C58" w:rsidRDefault="008D593A">
      <w:pPr>
        <w:pStyle w:val="Ttulo1"/>
      </w:pPr>
      <w:r>
        <w:rPr>
          <w:color w:val="225091"/>
        </w:rPr>
        <w:t>Ciclo de Vida de Operações Iron</w:t>
      </w:r>
    </w:p>
    <w:p w14:paraId="689D3ED0" w14:textId="77777777" w:rsidR="00D63C58" w:rsidRDefault="008D593A" w:rsidP="00AB7363">
      <w:pPr>
        <w:jc w:val="both"/>
      </w:pPr>
      <w:r>
        <w:t>As operações da Solo Iron seguem um ciclo de vida estruturado, que garante continuidade entre área comercial, projeto e operação recorrente. De forma geral, o fluxo é composto pelas seguintes fases:</w:t>
      </w:r>
    </w:p>
    <w:p w14:paraId="737FAED7" w14:textId="77777777" w:rsidR="00D63C58" w:rsidRDefault="008D593A" w:rsidP="00AB7363">
      <w:pPr>
        <w:pStyle w:val="PargrafodaLista"/>
        <w:numPr>
          <w:ilvl w:val="0"/>
          <w:numId w:val="2"/>
        </w:numPr>
        <w:jc w:val="both"/>
      </w:pPr>
      <w:r>
        <w:rPr>
          <w:b/>
          <w:bCs/>
        </w:rPr>
        <w:t xml:space="preserve">Fase de Pré-Vendas – Arquitetura e Desenho da Solução e do Projeto Técnico de Implementação ou migração. </w:t>
      </w:r>
      <w:r>
        <w:t>Na fase de </w:t>
      </w:r>
      <w:r>
        <w:rPr>
          <w:b/>
          <w:bCs/>
        </w:rPr>
        <w:t>pré-vendas</w:t>
      </w:r>
      <w:r>
        <w:t>, a equipe de </w:t>
      </w:r>
      <w:r>
        <w:rPr>
          <w:b/>
          <w:bCs/>
        </w:rPr>
        <w:t>Arquitetos Iron</w:t>
      </w:r>
      <w:r>
        <w:t> avalia as necessidades do cliente, mapeia dores, objetivos, premissas e características do ambiente atual. A partir desse diagnóstico, é elaborado o </w:t>
      </w:r>
      <w:r>
        <w:rPr>
          <w:b/>
          <w:bCs/>
        </w:rPr>
        <w:t>Projeto Técnico Proposto</w:t>
      </w:r>
      <w:r>
        <w:t xml:space="preserve">, que descreve a solução de Proteção </w:t>
      </w:r>
      <w:proofErr w:type="spellStart"/>
      <w:r>
        <w:t>Endpoint</w:t>
      </w:r>
      <w:proofErr w:type="spellEnd"/>
      <w:r>
        <w:t xml:space="preserve"> (EDR/EPP) recomendada, bem como o plano de projeto de implementação ou substituição da tecnologia. Com o </w:t>
      </w:r>
      <w:r>
        <w:rPr>
          <w:b/>
          <w:bCs/>
        </w:rPr>
        <w:t>aceite formal do cliente</w:t>
      </w:r>
      <w:r>
        <w:t> sobre essa proposta técnica e comercial, encerra-se a fase de pré-vendas.</w:t>
      </w:r>
    </w:p>
    <w:p w14:paraId="046362EC" w14:textId="77777777" w:rsidR="00D63C58" w:rsidRDefault="008D593A" w:rsidP="00AB7363">
      <w:pPr>
        <w:pStyle w:val="PargrafodaLista"/>
        <w:numPr>
          <w:ilvl w:val="0"/>
          <w:numId w:val="2"/>
        </w:numPr>
        <w:jc w:val="both"/>
      </w:pPr>
      <w:r>
        <w:rPr>
          <w:b/>
          <w:bCs/>
        </w:rPr>
        <w:t xml:space="preserve">Fase de Vendas – Formalização e Liberação do Projeto. </w:t>
      </w:r>
      <w:r>
        <w:t>Após o aceite do cliente, tem início a </w:t>
      </w:r>
      <w:r>
        <w:rPr>
          <w:b/>
          <w:bCs/>
        </w:rPr>
        <w:t>fase de venda</w:t>
      </w:r>
      <w:r>
        <w:t>, que contempla os processos internos de:</w:t>
      </w:r>
    </w:p>
    <w:p w14:paraId="73D6B21A" w14:textId="77777777" w:rsidR="00D63C58" w:rsidRDefault="008D593A" w:rsidP="00AB7363">
      <w:pPr>
        <w:pStyle w:val="PargrafodaLista"/>
        <w:numPr>
          <w:ilvl w:val="1"/>
          <w:numId w:val="1"/>
        </w:numPr>
        <w:jc w:val="both"/>
      </w:pPr>
      <w:r>
        <w:rPr>
          <w:b/>
          <w:bCs/>
        </w:rPr>
        <w:t>Análise de crédito</w:t>
      </w:r>
      <w:r>
        <w:t>;</w:t>
      </w:r>
    </w:p>
    <w:p w14:paraId="0E7B7C65" w14:textId="77777777" w:rsidR="00D63C58" w:rsidRDefault="008D593A" w:rsidP="00AB7363">
      <w:pPr>
        <w:pStyle w:val="PargrafodaLista"/>
        <w:numPr>
          <w:ilvl w:val="1"/>
          <w:numId w:val="1"/>
        </w:numPr>
        <w:jc w:val="both"/>
      </w:pPr>
      <w:r>
        <w:rPr>
          <w:b/>
          <w:bCs/>
        </w:rPr>
        <w:t>Formalização contratual</w:t>
      </w:r>
      <w:r>
        <w:t> (propostas, contratos, aditivos, termos);</w:t>
      </w:r>
    </w:p>
    <w:p w14:paraId="325FE637" w14:textId="77777777" w:rsidR="00D63C58" w:rsidRDefault="008D593A" w:rsidP="00AB7363">
      <w:pPr>
        <w:pStyle w:val="PargrafodaLista"/>
        <w:numPr>
          <w:ilvl w:val="1"/>
          <w:numId w:val="1"/>
        </w:numPr>
        <w:jc w:val="both"/>
      </w:pPr>
      <w:r>
        <w:rPr>
          <w:b/>
          <w:bCs/>
        </w:rPr>
        <w:t>Faturamento</w:t>
      </w:r>
      <w:r>
        <w:t> e cadastro de condições comerciais;</w:t>
      </w:r>
    </w:p>
    <w:p w14:paraId="240F9650" w14:textId="77777777" w:rsidR="00D63C58" w:rsidRDefault="008D593A" w:rsidP="00AB7363">
      <w:pPr>
        <w:pStyle w:val="PargrafodaLista"/>
        <w:numPr>
          <w:ilvl w:val="1"/>
          <w:numId w:val="1"/>
        </w:numPr>
        <w:jc w:val="both"/>
      </w:pPr>
      <w:r>
        <w:rPr>
          <w:b/>
          <w:bCs/>
        </w:rPr>
        <w:t>Análise administrativa de serviços</w:t>
      </w:r>
      <w:r>
        <w:t>, assegurando que escopo, critérios e responsabilidades estejam alinhados. Com a conclusão dessa etapa, o projeto está formalmente liberado para execução.</w:t>
      </w:r>
    </w:p>
    <w:p w14:paraId="050635BC" w14:textId="67F3A649" w:rsidR="00D63C58" w:rsidRDefault="008D593A" w:rsidP="00AB7363">
      <w:pPr>
        <w:pStyle w:val="PargrafodaLista"/>
        <w:numPr>
          <w:ilvl w:val="0"/>
          <w:numId w:val="2"/>
        </w:numPr>
        <w:jc w:val="both"/>
      </w:pPr>
      <w:r>
        <w:rPr>
          <w:b/>
          <w:bCs/>
          <w:shd w:val="clear" w:color="auto" w:fill="CDE992"/>
        </w:rPr>
        <w:t xml:space="preserve">Fase de Projeto – Implementação ou Substituição da Tecnologia. </w:t>
      </w:r>
      <w:r>
        <w:rPr>
          <w:shd w:val="clear" w:color="auto" w:fill="CDE992"/>
        </w:rPr>
        <w:t>Concluída a venda, inicia-se a </w:t>
      </w:r>
      <w:r>
        <w:rPr>
          <w:b/>
          <w:bCs/>
          <w:shd w:val="clear" w:color="auto" w:fill="CDE992"/>
        </w:rPr>
        <w:t>fase de Projeto de Implementação ou Substituição</w:t>
      </w:r>
      <w:r>
        <w:rPr>
          <w:shd w:val="clear" w:color="auto" w:fill="CDE992"/>
        </w:rPr>
        <w:t xml:space="preserve"> da solução de Proteção </w:t>
      </w:r>
      <w:proofErr w:type="spellStart"/>
      <w:r>
        <w:rPr>
          <w:shd w:val="clear" w:color="auto" w:fill="CDE992"/>
        </w:rPr>
        <w:t>Endpoint</w:t>
      </w:r>
      <w:proofErr w:type="spellEnd"/>
      <w:r>
        <w:rPr>
          <w:shd w:val="clear" w:color="auto" w:fill="CDE992"/>
        </w:rPr>
        <w:t>, que é </w:t>
      </w:r>
      <w:r>
        <w:rPr>
          <w:b/>
          <w:bCs/>
          <w:shd w:val="clear" w:color="auto" w:fill="CDE992"/>
        </w:rPr>
        <w:t xml:space="preserve">exatamente o escopo coberto por esta </w:t>
      </w:r>
      <w:proofErr w:type="spellStart"/>
      <w:r>
        <w:rPr>
          <w:b/>
          <w:bCs/>
          <w:shd w:val="clear" w:color="auto" w:fill="CDE992"/>
        </w:rPr>
        <w:t>SoW</w:t>
      </w:r>
      <w:proofErr w:type="spellEnd"/>
      <w:r>
        <w:rPr>
          <w:shd w:val="clear" w:color="auto" w:fill="CDE992"/>
        </w:rPr>
        <w:t xml:space="preserve">. </w:t>
      </w:r>
      <w:r>
        <w:t>Nesta fase ocorrem o </w:t>
      </w:r>
      <w:proofErr w:type="spellStart"/>
      <w:r>
        <w:rPr>
          <w:b/>
          <w:bCs/>
        </w:rPr>
        <w:t>kickoff</w:t>
      </w:r>
      <w:proofErr w:type="spellEnd"/>
      <w:r>
        <w:rPr>
          <w:b/>
          <w:bCs/>
        </w:rPr>
        <w:t xml:space="preserve"> do projeto</w:t>
      </w:r>
      <w:r>
        <w:t>, o planejamento detalhado, a execução técnica, os testes, ajustes e a preparação para o encerramento. A fase de projeto se encerra com o </w:t>
      </w:r>
      <w:r>
        <w:rPr>
          <w:b/>
          <w:bCs/>
        </w:rPr>
        <w:t>Termo de Encerramento do Projeto</w:t>
      </w:r>
      <w:r>
        <w:t> e o </w:t>
      </w:r>
      <w:r>
        <w:rPr>
          <w:b/>
          <w:bCs/>
        </w:rPr>
        <w:t>Aceite do Cliente</w:t>
      </w:r>
      <w:r>
        <w:t> quanto à implementação da tecnologia conforme o Projeto Técnico e es</w:t>
      </w:r>
      <w:r w:rsidR="00893080">
        <w:t>s</w:t>
      </w:r>
      <w:r>
        <w:t xml:space="preserve">a </w:t>
      </w:r>
      <w:proofErr w:type="spellStart"/>
      <w:r>
        <w:t>SoW</w:t>
      </w:r>
      <w:proofErr w:type="spellEnd"/>
      <w:r>
        <w:t>.</w:t>
      </w:r>
    </w:p>
    <w:p w14:paraId="5A482963" w14:textId="77777777" w:rsidR="00D63C58" w:rsidRDefault="008D593A" w:rsidP="00AB7363">
      <w:pPr>
        <w:pStyle w:val="PargrafodaLista"/>
        <w:numPr>
          <w:ilvl w:val="0"/>
          <w:numId w:val="2"/>
        </w:numPr>
        <w:jc w:val="both"/>
      </w:pPr>
      <w:r>
        <w:rPr>
          <w:b/>
          <w:bCs/>
        </w:rPr>
        <w:lastRenderedPageBreak/>
        <w:t xml:space="preserve">Fase de Operação Contínua – Serviço Gerenciado de Proteção </w:t>
      </w:r>
      <w:proofErr w:type="spellStart"/>
      <w:r>
        <w:rPr>
          <w:b/>
          <w:bCs/>
        </w:rPr>
        <w:t>Endpoint</w:t>
      </w:r>
      <w:proofErr w:type="spellEnd"/>
      <w:r>
        <w:rPr>
          <w:b/>
          <w:bCs/>
        </w:rPr>
        <w:t xml:space="preserve">. </w:t>
      </w:r>
      <w:r>
        <w:t>Para os clientes que também contrataram o </w:t>
      </w:r>
      <w:r>
        <w:rPr>
          <w:b/>
          <w:bCs/>
        </w:rPr>
        <w:t xml:space="preserve">serviço gerenciado de Proteção </w:t>
      </w:r>
      <w:proofErr w:type="spellStart"/>
      <w:r>
        <w:rPr>
          <w:b/>
          <w:bCs/>
        </w:rPr>
        <w:t>Endpoint</w:t>
      </w:r>
      <w:proofErr w:type="spellEnd"/>
      <w:r>
        <w:t>, após o aceite do projeto inicia-se a </w:t>
      </w:r>
      <w:r>
        <w:rPr>
          <w:b/>
          <w:bCs/>
        </w:rPr>
        <w:t>fase de Operação Contínua</w:t>
      </w:r>
      <w:r>
        <w:t xml:space="preserve">, na qual a solução implantada passa a ser monitorada, gerida e aprimorada pela equipe Iron, dentro de uma </w:t>
      </w:r>
      <w:proofErr w:type="spellStart"/>
      <w:r>
        <w:t>SoW</w:t>
      </w:r>
      <w:proofErr w:type="spellEnd"/>
      <w:r>
        <w:t xml:space="preserve"> específica de serviços gerenciados.</w:t>
      </w:r>
    </w:p>
    <w:p w14:paraId="1D68AEBB" w14:textId="77777777" w:rsidR="00D63C58" w:rsidRDefault="00D63C58"/>
    <w:p w14:paraId="540407C3" w14:textId="7C30559D" w:rsidR="00D63C58" w:rsidRDefault="00AB7363">
      <w:r>
        <w:rPr>
          <w:noProof/>
        </w:rPr>
        <w:drawing>
          <wp:inline distT="0" distB="0" distL="0" distR="0" wp14:anchorId="65515FB2" wp14:editId="2FE4276C">
            <wp:extent cx="5731510" cy="1902460"/>
            <wp:effectExtent l="0" t="0" r="0" b="2540"/>
            <wp:docPr id="948962764" name="Imagem 2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962764" name="Imagem 2" descr="Diagrama&#10;&#10;Descrição gerada automaticament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A96C9" w14:textId="77777777" w:rsidR="00D63C58" w:rsidRDefault="00D63C58"/>
    <w:p w14:paraId="606779C7" w14:textId="3011A498" w:rsidR="00D63C58" w:rsidRDefault="008D593A" w:rsidP="00AB7363">
      <w:pPr>
        <w:jc w:val="both"/>
      </w:pPr>
      <w:r>
        <w:t>Em resumo, esta </w:t>
      </w:r>
      <w:proofErr w:type="spellStart"/>
      <w:r>
        <w:rPr>
          <w:b/>
          <w:bCs/>
        </w:rPr>
        <w:t>SoW</w:t>
      </w:r>
      <w:proofErr w:type="spellEnd"/>
      <w:r>
        <w:rPr>
          <w:b/>
          <w:bCs/>
        </w:rPr>
        <w:t xml:space="preserve"> de Projeto Iron</w:t>
      </w:r>
      <w:r>
        <w:t> tem início </w:t>
      </w:r>
      <w:r>
        <w:rPr>
          <w:b/>
          <w:bCs/>
        </w:rPr>
        <w:t xml:space="preserve">no </w:t>
      </w:r>
      <w:proofErr w:type="spellStart"/>
      <w:r>
        <w:rPr>
          <w:b/>
          <w:bCs/>
        </w:rPr>
        <w:t>kickoff</w:t>
      </w:r>
      <w:proofErr w:type="spellEnd"/>
      <w:r>
        <w:rPr>
          <w:b/>
          <w:bCs/>
        </w:rPr>
        <w:t xml:space="preserve"> do projeto de implementação ou migração</w:t>
      </w:r>
      <w:r>
        <w:t> e se encerra </w:t>
      </w:r>
      <w:r>
        <w:rPr>
          <w:b/>
          <w:bCs/>
        </w:rPr>
        <w:t>no termo de aceite do projeto pelo cliente</w:t>
      </w:r>
      <w:r>
        <w:t>, delimitando com clareza o começo e o fim da fase de projeto dentro do ciclo de vida das operações Iron.</w:t>
      </w:r>
    </w:p>
    <w:p w14:paraId="7CB7C28C" w14:textId="77777777" w:rsidR="00D63C58" w:rsidRDefault="008D593A">
      <w:pPr>
        <w:pStyle w:val="Ttulo1"/>
      </w:pPr>
      <w:r>
        <w:rPr>
          <w:color w:val="225091"/>
        </w:rPr>
        <w:t>Metodologias de Gestão de Projetos</w:t>
      </w:r>
    </w:p>
    <w:p w14:paraId="30AF6D58" w14:textId="77777777" w:rsidR="00D63C58" w:rsidRDefault="008D593A" w:rsidP="00AB7363">
      <w:pPr>
        <w:jc w:val="both"/>
      </w:pPr>
      <w:r>
        <w:t>A Solo Iron adota um modelo híbrido de gestão de projetos, combinando práticas ágeis, preditivas ou mista, para garantir flexibilidade, controle e melhor entrega de acordo com a necessidade do projeto.</w:t>
      </w:r>
    </w:p>
    <w:p w14:paraId="5502A5CE" w14:textId="77777777" w:rsidR="00D63C58" w:rsidRDefault="008D593A" w:rsidP="00AB7363">
      <w:pPr>
        <w:jc w:val="both"/>
      </w:pPr>
      <w:r>
        <w:t xml:space="preserve">Ao recebermos o projeto técnico produzido pelos arquitetos de </w:t>
      </w:r>
      <w:proofErr w:type="spellStart"/>
      <w:proofErr w:type="gramStart"/>
      <w:r>
        <w:t>pre-vendas</w:t>
      </w:r>
      <w:proofErr w:type="spellEnd"/>
      <w:proofErr w:type="gramEnd"/>
      <w:r>
        <w:t xml:space="preserve">, realizamos uma avaliação do escopo, prazos, complexidade técnica e nível de incerteza. Com isso, definimos se a abordagem terá maior peso ágil ou preditivo. Quando o escopo é mais estável e bem definido, aplicamos mais processos alinhados às boas práticas de gerenciamento de projetos tradicionais, conforme padrões internacionalmente reconhecidos do </w:t>
      </w:r>
      <w:proofErr w:type="gramStart"/>
      <w:r>
        <w:t>PMI ,</w:t>
      </w:r>
      <w:proofErr w:type="gramEnd"/>
      <w:r>
        <w:t xml:space="preserve"> com escopo detalhado, cronograma estruturado, gestão formal de riscos e marcos de acompanhamento. Quando há incertezas técnicas, necessidade de</w:t>
      </w:r>
      <w:r>
        <w:t xml:space="preserve"> validação contínua ou entregas incrementais, utilizamos práticas do Scrum, com sprints curtas, backlog priorizado, cerimônias de inspeção e adaptação e envolvimento frequente das partes interessadas.</w:t>
      </w:r>
    </w:p>
    <w:p w14:paraId="619FABB2" w14:textId="77777777" w:rsidR="00D63C58" w:rsidRDefault="008D593A" w:rsidP="00AB7363">
      <w:pPr>
        <w:jc w:val="both"/>
      </w:pPr>
      <w:r>
        <w:t>Independentemente da abordagem dominante, o projeto segue um macroprocesso comum:</w:t>
      </w:r>
    </w:p>
    <w:p w14:paraId="458AC007" w14:textId="77777777" w:rsidR="00D63C58" w:rsidRDefault="008D593A" w:rsidP="00AB7363">
      <w:pPr>
        <w:pStyle w:val="PargrafodaLista"/>
        <w:numPr>
          <w:ilvl w:val="0"/>
          <w:numId w:val="2"/>
        </w:numPr>
        <w:jc w:val="both"/>
      </w:pPr>
      <w:r>
        <w:t xml:space="preserve">Iniciação – entendimento do contexto, definição dos objetivos, criação dos requisitos macro e alinhamento com o cliente em reunião de </w:t>
      </w:r>
      <w:proofErr w:type="spellStart"/>
      <w:r>
        <w:t>kickoff</w:t>
      </w:r>
      <w:proofErr w:type="spellEnd"/>
      <w:r>
        <w:t xml:space="preserve"> do projeto;</w:t>
      </w:r>
    </w:p>
    <w:p w14:paraId="76F5A9C0" w14:textId="77777777" w:rsidR="00D63C58" w:rsidRDefault="008D593A" w:rsidP="00AB7363">
      <w:pPr>
        <w:pStyle w:val="PargrafodaLista"/>
        <w:numPr>
          <w:ilvl w:val="0"/>
          <w:numId w:val="2"/>
        </w:numPr>
        <w:jc w:val="both"/>
      </w:pPr>
      <w:r>
        <w:t>Planejamento – definição do escopo, planejamento do cronograma (preditivo) ou plano de releases (ágil), identificação de riscos, além da criação de outros documentos de apoio ao gerenciamento do projeto;</w:t>
      </w:r>
    </w:p>
    <w:p w14:paraId="497E2974" w14:textId="77777777" w:rsidR="00D63C58" w:rsidRDefault="008D593A" w:rsidP="00AB7363">
      <w:pPr>
        <w:pStyle w:val="PargrafodaLista"/>
        <w:numPr>
          <w:ilvl w:val="0"/>
          <w:numId w:val="2"/>
        </w:numPr>
        <w:jc w:val="both"/>
      </w:pPr>
      <w:r>
        <w:t>Execução – desenvolvimento das atividades técnicas pelo time Iron;</w:t>
      </w:r>
    </w:p>
    <w:p w14:paraId="080926FA" w14:textId="77777777" w:rsidR="00D63C58" w:rsidRDefault="008D593A" w:rsidP="00AB7363">
      <w:pPr>
        <w:pStyle w:val="PargrafodaLista"/>
        <w:numPr>
          <w:ilvl w:val="0"/>
          <w:numId w:val="2"/>
        </w:numPr>
        <w:jc w:val="both"/>
      </w:pPr>
      <w:r>
        <w:t>Monitoramento e Controle – acompanhamento contínuo do progresso do projeto pelo Gerente de Projetos, gestão de riscos e impedimentos, ajustes de planejamento e apresentação semanal de status report.</w:t>
      </w:r>
    </w:p>
    <w:p w14:paraId="62290482" w14:textId="77777777" w:rsidR="00D63C58" w:rsidRDefault="008D593A" w:rsidP="00AB7363">
      <w:pPr>
        <w:pStyle w:val="PargrafodaLista"/>
        <w:numPr>
          <w:ilvl w:val="0"/>
          <w:numId w:val="2"/>
        </w:numPr>
        <w:jc w:val="both"/>
      </w:pPr>
      <w:r>
        <w:t>Encerramento – validação das entregas, documentação final e formalização da conclusão do projeto ou fases.</w:t>
      </w:r>
    </w:p>
    <w:p w14:paraId="5A9ED833" w14:textId="77777777" w:rsidR="00D63C58" w:rsidRDefault="00D63C58"/>
    <w:p w14:paraId="1AD908BA" w14:textId="77777777" w:rsidR="00D63C58" w:rsidRDefault="008D593A" w:rsidP="00AB7363">
      <w:pPr>
        <w:jc w:val="center"/>
      </w:pPr>
      <w:r>
        <w:rPr>
          <w:noProof/>
        </w:rPr>
        <w:drawing>
          <wp:inline distT="0" distB="0" distL="0" distR="0" wp14:anchorId="58728332" wp14:editId="08BC8EBD">
            <wp:extent cx="4527933" cy="2716760"/>
            <wp:effectExtent l="0" t="0" r="6350" b="1270"/>
            <wp:docPr id="1772602333" name="Imagem 1772602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0539" cy="2814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08623" w14:textId="77777777" w:rsidR="00D63C58" w:rsidRDefault="00D63C58"/>
    <w:p w14:paraId="4796B9E4" w14:textId="77777777" w:rsidR="00D63C58" w:rsidRDefault="00D63C58"/>
    <w:p w14:paraId="7C663D1C" w14:textId="77777777" w:rsidR="00D63C58" w:rsidRDefault="008D593A">
      <w:pPr>
        <w:pStyle w:val="Ttulo1"/>
      </w:pPr>
      <w:r>
        <w:rPr>
          <w:color w:val="225091"/>
        </w:rPr>
        <w:t>Arquitetura e Projeto Técnico</w:t>
      </w:r>
    </w:p>
    <w:p w14:paraId="794360D7" w14:textId="77777777" w:rsidR="00D63C58" w:rsidRDefault="008D593A" w:rsidP="00AB7363">
      <w:pPr>
        <w:jc w:val="both"/>
      </w:pPr>
      <w:r>
        <w:t>Dentro do processo de vendas da Solo Iron, na etapa estruturada de </w:t>
      </w:r>
      <w:r>
        <w:rPr>
          <w:b/>
          <w:bCs/>
        </w:rPr>
        <w:t>pré-vendas</w:t>
      </w:r>
      <w:r>
        <w:t>, conduzida pela equipe de </w:t>
      </w:r>
      <w:r>
        <w:rPr>
          <w:b/>
          <w:bCs/>
        </w:rPr>
        <w:t>Arquitetos de Solução</w:t>
      </w:r>
      <w:r>
        <w:t>. Esses arquitetos participam ativamente das reuniões com o cliente, </w:t>
      </w:r>
      <w:r>
        <w:rPr>
          <w:b/>
          <w:bCs/>
        </w:rPr>
        <w:t>mapeando dores, necessidades, objetivos de negócio, premissas e informações relevantes sobre a infraestrutura e o ambiente atual</w:t>
      </w:r>
      <w:r>
        <w:t>, bem como eventuais restrições tecnológicas e operacionais. A partir desse entendimento, são responsáveis por </w:t>
      </w:r>
      <w:r>
        <w:rPr>
          <w:b/>
          <w:bCs/>
        </w:rPr>
        <w:t>desenhar a solução proposta</w:t>
      </w:r>
      <w:r>
        <w:t> e planejar, de forma estruturada, a fase de projeto de implementação ou migração.</w:t>
      </w:r>
    </w:p>
    <w:p w14:paraId="28E71A1C" w14:textId="77777777" w:rsidR="00D63C58" w:rsidRDefault="008D593A" w:rsidP="00AB7363">
      <w:pPr>
        <w:jc w:val="both"/>
      </w:pPr>
      <w:r>
        <w:t>Com base na realidade do cliente e nas informações levantadas, a equipe de Arquitetos elabora o </w:t>
      </w:r>
      <w:r>
        <w:rPr>
          <w:b/>
          <w:bCs/>
        </w:rPr>
        <w:t>desenho de solução</w:t>
      </w:r>
      <w:r>
        <w:t> e o </w:t>
      </w:r>
      <w:r>
        <w:rPr>
          <w:b/>
          <w:bCs/>
        </w:rPr>
        <w:t>plano de projeto</w:t>
      </w:r>
      <w:r>
        <w:t>, que obrigatoriamente contemplam, no mínimo: </w:t>
      </w:r>
      <w:r>
        <w:rPr>
          <w:b/>
          <w:bCs/>
        </w:rPr>
        <w:t>topologias e diagramas de alto nível</w:t>
      </w:r>
      <w:r>
        <w:t>, </w:t>
      </w:r>
      <w:proofErr w:type="spellStart"/>
      <w:r>
        <w:rPr>
          <w:b/>
          <w:bCs/>
        </w:rPr>
        <w:t>canva</w:t>
      </w:r>
      <w:proofErr w:type="spellEnd"/>
      <w:r>
        <w:rPr>
          <w:b/>
          <w:bCs/>
        </w:rPr>
        <w:t xml:space="preserve"> ou visão macro do projeto</w:t>
      </w:r>
      <w:r>
        <w:t>, </w:t>
      </w:r>
      <w:r>
        <w:rPr>
          <w:b/>
          <w:bCs/>
        </w:rPr>
        <w:t>premissas</w:t>
      </w:r>
      <w:r>
        <w:t>, </w:t>
      </w:r>
      <w:r>
        <w:rPr>
          <w:b/>
          <w:bCs/>
        </w:rPr>
        <w:t>requisitos funcionais e técnicos</w:t>
      </w:r>
      <w:r>
        <w:t>, </w:t>
      </w:r>
      <w:r>
        <w:rPr>
          <w:b/>
          <w:bCs/>
        </w:rPr>
        <w:t>escopo detalhado</w:t>
      </w:r>
      <w:r>
        <w:t> (o que será atendido), </w:t>
      </w:r>
      <w:r>
        <w:rPr>
          <w:b/>
          <w:bCs/>
        </w:rPr>
        <w:t>fora de escopo</w:t>
      </w:r>
      <w:r>
        <w:t>(o que não será atendido), </w:t>
      </w:r>
      <w:r>
        <w:rPr>
          <w:b/>
          <w:bCs/>
        </w:rPr>
        <w:t>quantidades</w:t>
      </w:r>
      <w:r>
        <w:t xml:space="preserve"> (ativos, usuários, sites, </w:t>
      </w:r>
      <w:proofErr w:type="spellStart"/>
      <w:r>
        <w:t>appliances</w:t>
      </w:r>
      <w:proofErr w:type="spellEnd"/>
      <w:r>
        <w:t xml:space="preserve">, </w:t>
      </w:r>
      <w:proofErr w:type="spellStart"/>
      <w:r>
        <w:t>workloads</w:t>
      </w:r>
      <w:proofErr w:type="spellEnd"/>
      <w:r>
        <w:t>, etc.), </w:t>
      </w:r>
      <w:r>
        <w:rPr>
          <w:b/>
          <w:bCs/>
        </w:rPr>
        <w:t>prazos estimados</w:t>
      </w:r>
      <w:r>
        <w:t>, </w:t>
      </w:r>
      <w:r>
        <w:rPr>
          <w:b/>
          <w:bCs/>
        </w:rPr>
        <w:t>esforço em horas por perfil</w:t>
      </w:r>
      <w:r>
        <w:t>, </w:t>
      </w:r>
      <w:r>
        <w:rPr>
          <w:b/>
          <w:bCs/>
        </w:rPr>
        <w:t>custos de serviços</w:t>
      </w:r>
      <w:r>
        <w:t>, </w:t>
      </w:r>
      <w:r>
        <w:rPr>
          <w:b/>
          <w:bCs/>
        </w:rPr>
        <w:t>licenças e produtos envolvidos</w:t>
      </w:r>
      <w:r>
        <w:t>, </w:t>
      </w:r>
      <w:r>
        <w:rPr>
          <w:b/>
          <w:bCs/>
        </w:rPr>
        <w:t>acessos e perfis necessários</w:t>
      </w:r>
      <w:r>
        <w:t>, bem como eventuais </w:t>
      </w:r>
      <w:r>
        <w:rPr>
          <w:b/>
          <w:bCs/>
        </w:rPr>
        <w:t>dependências, riscos conhecidos e condições especiais de execução</w:t>
      </w:r>
      <w:r>
        <w:t>.</w:t>
      </w:r>
    </w:p>
    <w:p w14:paraId="44E15D58" w14:textId="77777777" w:rsidR="00D63C58" w:rsidRDefault="008D593A" w:rsidP="00AB7363">
      <w:pPr>
        <w:jc w:val="both"/>
      </w:pPr>
      <w:r>
        <w:t>Com o </w:t>
      </w:r>
      <w:r>
        <w:rPr>
          <w:b/>
          <w:bCs/>
        </w:rPr>
        <w:t>plano de projeto desenhado e ofertado pela equipe de Arquitetos</w:t>
      </w:r>
      <w:r>
        <w:t> e </w:t>
      </w:r>
      <w:r>
        <w:rPr>
          <w:b/>
          <w:bCs/>
        </w:rPr>
        <w:t>formalmente aceito pelo cliente</w:t>
      </w:r>
      <w:r>
        <w:t>, consolidado no documento denominado </w:t>
      </w:r>
      <w:r>
        <w:rPr>
          <w:b/>
          <w:bCs/>
        </w:rPr>
        <w:t>“Projeto Técnico”</w:t>
      </w:r>
      <w:r>
        <w:t>, a execução do projeto será realizada</w:t>
      </w:r>
      <w:r>
        <w:rPr>
          <w:b/>
          <w:bCs/>
        </w:rPr>
        <w:t xml:space="preserve"> seguindo as premissas e diretrizes desta </w:t>
      </w:r>
      <w:proofErr w:type="spellStart"/>
      <w:r>
        <w:rPr>
          <w:b/>
          <w:bCs/>
        </w:rPr>
        <w:t>SoW</w:t>
      </w:r>
      <w:proofErr w:type="spellEnd"/>
      <w:r>
        <w:t xml:space="preserve"> de Projetos e do próprio Projeto Técnico, que passa a ser o detalhamento de referência para as atividades, entregáveis, responsabilidades e critérios de aceite.</w:t>
      </w:r>
    </w:p>
    <w:p w14:paraId="14C6C327" w14:textId="77777777" w:rsidR="00D63C58" w:rsidRDefault="00D63C58"/>
    <w:sectPr w:rsidR="00D63C58">
      <w:type w:val="continuous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igtree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E4ACE"/>
    <w:multiLevelType w:val="hybridMultilevel"/>
    <w:tmpl w:val="06D22306"/>
    <w:lvl w:ilvl="0" w:tplc="E8A0E450">
      <w:start w:val="1"/>
      <w:numFmt w:val="decimal"/>
      <w:lvlText w:val="%1."/>
      <w:lvlJc w:val="left"/>
      <w:pPr>
        <w:ind w:left="720" w:hanging="320"/>
      </w:pPr>
    </w:lvl>
    <w:lvl w:ilvl="1" w:tplc="7194B014">
      <w:start w:val="1"/>
      <w:numFmt w:val="lowerLetter"/>
      <w:lvlText w:val="%2."/>
      <w:lvlJc w:val="left"/>
      <w:pPr>
        <w:ind w:left="1440" w:hanging="320"/>
      </w:pPr>
    </w:lvl>
    <w:lvl w:ilvl="2" w:tplc="A4A03526">
      <w:start w:val="1"/>
      <w:numFmt w:val="lowerRoman"/>
      <w:lvlText w:val="%3."/>
      <w:lvlJc w:val="left"/>
      <w:pPr>
        <w:ind w:left="2160" w:hanging="320"/>
      </w:pPr>
    </w:lvl>
    <w:lvl w:ilvl="3" w:tplc="5F5CEA34">
      <w:start w:val="1"/>
      <w:numFmt w:val="decimal"/>
      <w:lvlText w:val="%4."/>
      <w:lvlJc w:val="left"/>
      <w:pPr>
        <w:ind w:left="2880" w:hanging="320"/>
      </w:pPr>
    </w:lvl>
    <w:lvl w:ilvl="4" w:tplc="60703166">
      <w:start w:val="1"/>
      <w:numFmt w:val="lowerLetter"/>
      <w:lvlText w:val="%5."/>
      <w:lvlJc w:val="left"/>
      <w:pPr>
        <w:ind w:left="3600" w:hanging="320"/>
      </w:pPr>
    </w:lvl>
    <w:lvl w:ilvl="5" w:tplc="98D49036">
      <w:start w:val="1"/>
      <w:numFmt w:val="lowerRoman"/>
      <w:lvlText w:val="%6."/>
      <w:lvlJc w:val="left"/>
      <w:pPr>
        <w:ind w:left="4320" w:hanging="320"/>
      </w:pPr>
    </w:lvl>
    <w:lvl w:ilvl="6" w:tplc="FBBCF42E">
      <w:start w:val="1"/>
      <w:numFmt w:val="decimal"/>
      <w:lvlText w:val="%7."/>
      <w:lvlJc w:val="left"/>
      <w:pPr>
        <w:ind w:left="5040" w:hanging="320"/>
      </w:pPr>
    </w:lvl>
    <w:lvl w:ilvl="7" w:tplc="161EE5F6">
      <w:start w:val="1"/>
      <w:numFmt w:val="lowerLetter"/>
      <w:lvlText w:val="%8."/>
      <w:lvlJc w:val="left"/>
      <w:pPr>
        <w:ind w:left="5760" w:hanging="320"/>
      </w:pPr>
    </w:lvl>
    <w:lvl w:ilvl="8" w:tplc="B52A8830">
      <w:start w:val="1"/>
      <w:numFmt w:val="lowerRoman"/>
      <w:lvlText w:val="%9."/>
      <w:lvlJc w:val="left"/>
      <w:pPr>
        <w:ind w:left="6480" w:hanging="320"/>
      </w:pPr>
    </w:lvl>
  </w:abstractNum>
  <w:abstractNum w:abstractNumId="1" w15:restartNumberingAfterBreak="0">
    <w:nsid w:val="58BA1DF5"/>
    <w:multiLevelType w:val="hybridMultilevel"/>
    <w:tmpl w:val="0678685E"/>
    <w:lvl w:ilvl="0" w:tplc="5D8095F2">
      <w:start w:val="1"/>
      <w:numFmt w:val="bullet"/>
      <w:lvlText w:val="●"/>
      <w:lvlJc w:val="left"/>
      <w:pPr>
        <w:ind w:left="720" w:hanging="360"/>
      </w:pPr>
    </w:lvl>
    <w:lvl w:ilvl="1" w:tplc="FE9C57D2">
      <w:start w:val="1"/>
      <w:numFmt w:val="bullet"/>
      <w:lvlText w:val="○"/>
      <w:lvlJc w:val="left"/>
      <w:pPr>
        <w:ind w:left="1440" w:hanging="360"/>
      </w:pPr>
    </w:lvl>
    <w:lvl w:ilvl="2" w:tplc="77ECF654">
      <w:start w:val="1"/>
      <w:numFmt w:val="bullet"/>
      <w:lvlText w:val="■"/>
      <w:lvlJc w:val="left"/>
      <w:pPr>
        <w:ind w:left="2160" w:hanging="360"/>
      </w:pPr>
    </w:lvl>
    <w:lvl w:ilvl="3" w:tplc="86641B46">
      <w:start w:val="1"/>
      <w:numFmt w:val="bullet"/>
      <w:lvlText w:val="●"/>
      <w:lvlJc w:val="left"/>
      <w:pPr>
        <w:ind w:left="2880" w:hanging="360"/>
      </w:pPr>
    </w:lvl>
    <w:lvl w:ilvl="4" w:tplc="976EC272">
      <w:start w:val="1"/>
      <w:numFmt w:val="bullet"/>
      <w:lvlText w:val="○"/>
      <w:lvlJc w:val="left"/>
      <w:pPr>
        <w:ind w:left="3600" w:hanging="360"/>
      </w:pPr>
    </w:lvl>
    <w:lvl w:ilvl="5" w:tplc="4BBA70E0">
      <w:start w:val="1"/>
      <w:numFmt w:val="bullet"/>
      <w:lvlText w:val="■"/>
      <w:lvlJc w:val="left"/>
      <w:pPr>
        <w:ind w:left="4320" w:hanging="360"/>
      </w:pPr>
    </w:lvl>
    <w:lvl w:ilvl="6" w:tplc="D5D2543C">
      <w:start w:val="1"/>
      <w:numFmt w:val="bullet"/>
      <w:lvlText w:val="●"/>
      <w:lvlJc w:val="left"/>
      <w:pPr>
        <w:ind w:left="5040" w:hanging="360"/>
      </w:pPr>
    </w:lvl>
    <w:lvl w:ilvl="7" w:tplc="F6C6C496">
      <w:start w:val="1"/>
      <w:numFmt w:val="bullet"/>
      <w:lvlText w:val="●"/>
      <w:lvlJc w:val="left"/>
      <w:pPr>
        <w:ind w:left="5760" w:hanging="360"/>
      </w:pPr>
    </w:lvl>
    <w:lvl w:ilvl="8" w:tplc="49E8A572">
      <w:start w:val="1"/>
      <w:numFmt w:val="bullet"/>
      <w:lvlText w:val="●"/>
      <w:lvlJc w:val="left"/>
      <w:pPr>
        <w:ind w:left="6480" w:hanging="360"/>
      </w:pPr>
    </w:lvl>
  </w:abstractNum>
  <w:num w:numId="1" w16cid:durableId="1065761691">
    <w:abstractNumId w:val="1"/>
    <w:lvlOverride w:ilvl="0">
      <w:startOverride w:val="1"/>
    </w:lvlOverride>
  </w:num>
  <w:num w:numId="2" w16cid:durableId="8784744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C58"/>
    <w:rsid w:val="003000EA"/>
    <w:rsid w:val="004D52B5"/>
    <w:rsid w:val="00563F84"/>
    <w:rsid w:val="00893080"/>
    <w:rsid w:val="008A4D77"/>
    <w:rsid w:val="008D593A"/>
    <w:rsid w:val="00984D00"/>
    <w:rsid w:val="00A7217A"/>
    <w:rsid w:val="00AB7363"/>
    <w:rsid w:val="00D63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13C63"/>
  <w15:docId w15:val="{649A9858-DD77-164A-AF96-108B12D88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igtree" w:eastAsia="Figtree" w:hAnsi="Figtree" w:cs="Figtree"/>
        <w:sz w:val="16"/>
        <w:szCs w:val="16"/>
        <w:lang w:val="pt-BR" w:eastAsia="pt-BR" w:bidi="ar-SA"/>
      </w:rPr>
    </w:rPrDefault>
    <w:pPrDefault>
      <w:pPr>
        <w:spacing w:before="60" w:after="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sz w:val="24"/>
      <w:szCs w:val="24"/>
    </w:rPr>
  </w:style>
  <w:style w:type="paragraph" w:styleId="Ttulo3">
    <w:name w:val="heading 3"/>
    <w:uiPriority w:val="9"/>
    <w:unhideWhenUsed/>
    <w:qFormat/>
    <w:pPr>
      <w:outlineLvl w:val="2"/>
    </w:pPr>
    <w:rPr>
      <w:sz w:val="20"/>
      <w:szCs w:val="20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styleId="Citao">
    <w:name w:val="Quote"/>
    <w:rPr>
      <w:i/>
      <w:iCs/>
      <w:sz w:val="18"/>
      <w:szCs w:val="18"/>
    </w:rPr>
  </w:style>
  <w:style w:type="paragraph" w:customStyle="1" w:styleId="DocTitle">
    <w:name w:val="DocTitle"/>
    <w:pPr>
      <w:spacing w:after="240"/>
    </w:pPr>
    <w:rPr>
      <w:rFonts w:ascii="Poppins" w:eastAsia="Poppins" w:hAnsi="Poppins" w:cs="Poppins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2cb58b3-8d31-47fe-a332-85a72aea48d6}" enabled="1" method="Privileged" siteId="{706ab2a6-01a4-4abd-9fa6-0016c9637e7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1942</Words>
  <Characters>10491</Characters>
  <Application>Microsoft Office Word</Application>
  <DocSecurity>0</DocSecurity>
  <Lines>87</Lines>
  <Paragraphs>24</Paragraphs>
  <ScaleCrop>false</ScaleCrop>
  <Company/>
  <LinksUpToDate>false</LinksUpToDate>
  <CharactersWithSpaces>12409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de Endpoint</dc:title>
  <dc:creator>Un-named</dc:creator>
  <cp:lastModifiedBy>José Marcos Werlang Ferreira</cp:lastModifiedBy>
  <cp:revision>7</cp:revision>
  <dcterms:created xsi:type="dcterms:W3CDTF">2025-12-02T22:20:00Z</dcterms:created>
  <dcterms:modified xsi:type="dcterms:W3CDTF">2025-12-05T14:28:00Z</dcterms:modified>
</cp:coreProperties>
</file>