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00000"/>
          <w:sz w:val="34"/>
          <w:szCs w:val="34"/>
        </w:rPr>
        <w:t xml:space="preserve">AUBYN ARCHITECTURE LLC</w:t>
      </w:r>
    </w:p>
    <w:p>
      <w:pPr>
        <w:spacing w:before="0" w:after="40"/>
      </w:pPr>
      <w:r>
        <w:rPr>
          <w:rFonts w:ascii="Arial" w:cs="Arial" w:eastAsia="Arial" w:hAnsi="Arial"/>
          <w:color w:val="888888"/>
          <w:spacing w:val="40"/>
          <w:sz w:val="17"/>
          <w:szCs w:val="17"/>
        </w:rPr>
        <w:t xml:space="preserve">ARCHITECTURE  ·  LANDSCAPE  ·  CONSULTING</w:t>
      </w:r>
    </w:p>
    <w:p>
      <w:pPr>
        <w:pBdr>
          <w:bottom w:val="single" w:color="CCCCCC" w:sz="8" w:space="4"/>
        </w:pBdr>
        <w:spacing w:before="60" w:after="180"/>
      </w:pPr>
      <w:r>
        <w:rPr>
          <w:rFonts w:ascii="Arial" w:cs="Arial" w:eastAsia="Arial" w:hAnsi="Arial"/>
          <w:b/>
          <w:bCs/>
          <w:color w:val="000000"/>
          <w:sz w:val="26"/>
          <w:szCs w:val="26"/>
        </w:rPr>
        <w:t xml:space="preserve">Professional Services Agreement — [PROJECT NAME]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Prepared by:</w:t>
            </w:r>
          </w:p>
        </w:tc>
        <w:tc>
          <w:tcPr>
            <w:tcW w:type="dxa" w:w="268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Aubyn Architecture LLC ("M4D")</w:t>
            </w:r>
          </w:p>
        </w:tc>
        <w:tc>
          <w:tcPr>
            <w:tcW w:type="dxa" w:w="20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Project Location:</w:t>
            </w:r>
          </w:p>
        </w:tc>
        <w:tc>
          <w:tcPr>
            <w:tcW w:type="dxa" w:w="2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[PROJECT ADDRESS]</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Client:</w:t>
            </w:r>
          </w:p>
        </w:tc>
        <w:tc>
          <w:tcPr>
            <w:tcW w:type="dxa" w:w="268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[CLIENT NAME / ENTITY]</w:t>
            </w:r>
          </w:p>
        </w:tc>
        <w:tc>
          <w:tcPr>
            <w:tcW w:type="dxa" w:w="20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Date: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________________</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Proposal Format:</w:t>
            </w:r>
          </w:p>
        </w:tc>
        <w:tc>
          <w:tcPr>
            <w:tcW w:type="dxa" w:w="268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[See Section 4 — Fee Selection]</w:t>
            </w:r>
          </w:p>
        </w:tc>
        <w:tc>
          <w:tcPr>
            <w:tcW w:type="dxa" w:w="20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Project Type: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[PROJECT TYPE]</w:t>
            </w:r>
          </w:p>
        </w:tc>
      </w:tr>
    </w:tbl>
    <w:p>
      <w:pPr>
        <w:spacing w:before="240" w:after="0"/>
      </w:pPr>
      <w:r>
        <w:t xml:space="preserve"/>
      </w:r>
    </w:p>
    <w:p>
      <w:pPr>
        <w:spacing w:before="260" w:after="100"/>
      </w:pPr>
      <w:r>
        <w:rPr>
          <w:rFonts w:ascii="Arial" w:cs="Arial" w:eastAsia="Arial" w:hAnsi="Arial"/>
          <w:b/>
          <w:bCs/>
          <w:caps/>
          <w:color w:val="000000"/>
          <w:sz w:val="22"/>
          <w:szCs w:val="22"/>
        </w:rPr>
        <w:t xml:space="preserve">1.  Purpose of This Agreement</w:t>
      </w:r>
    </w:p>
    <w:p>
      <w:pPr>
        <w:spacing w:before="50" w:after="50"/>
        <w:jc w:val="left"/>
      </w:pPr>
      <w:r>
        <w:rPr>
          <w:rFonts w:ascii="Arial" w:cs="Arial" w:eastAsia="Arial" w:hAnsi="Arial"/>
          <w:b w:val="false"/>
          <w:bCs w:val="false"/>
          <w:i w:val="false"/>
          <w:iCs w:val="false"/>
          <w:color w:val="1A1A1A"/>
          <w:sz w:val="20"/>
          <w:szCs w:val="20"/>
        </w:rPr>
        <w:t xml:space="preserve">This Agreement defines the scope of [architecture / architecture + project management / consulting] services to be provided by Aubyn Architecture LLC ("M4D") for [PROJECT NAME] located at [PROJECT ADDRESS]. [Brief one-sentence project description.]</w:t>
      </w:r>
    </w:p>
    <w:p>
      <w:pPr>
        <w:spacing w:before="60" w:after="0"/>
      </w:pPr>
      <w:r>
        <w:t xml:space="preserve"/>
      </w:r>
    </w:p>
    <w:p>
      <w:pPr>
        <w:spacing w:before="260" w:after="100"/>
      </w:pPr>
      <w:r>
        <w:rPr>
          <w:rFonts w:ascii="Arial" w:cs="Arial" w:eastAsia="Arial" w:hAnsi="Arial"/>
          <w:b/>
          <w:bCs/>
          <w:caps/>
          <w:color w:val="000000"/>
          <w:sz w:val="22"/>
          <w:szCs w:val="22"/>
        </w:rPr>
        <w:t xml:space="preserve">2.  Project Overview</w:t>
      </w:r>
    </w:p>
    <w:p>
      <w:pPr>
        <w:spacing w:before="50" w:after="50"/>
        <w:jc w:val="left"/>
      </w:pPr>
      <w:r>
        <w:rPr>
          <w:rFonts w:ascii="Arial" w:cs="Arial" w:eastAsia="Arial" w:hAnsi="Arial"/>
          <w:b w:val="false"/>
          <w:bCs w:val="false"/>
          <w:i w:val="false"/>
          <w:iCs w:val="false"/>
          <w:color w:val="1A1A1A"/>
          <w:sz w:val="20"/>
          <w:szCs w:val="20"/>
        </w:rPr>
        <w:t xml:space="preserve">[Describe the project in 2–3 sentences: building type, size, condition, owner goals, and key constraints. Include phasing if applicable.]</w:t>
      </w:r>
    </w:p>
    <w:p>
      <w:pPr>
        <w:spacing w:before="50" w:after="50"/>
      </w:pPr>
      <w:r>
        <w:rPr>
          <w:rFonts w:ascii="Arial" w:cs="Arial" w:eastAsia="Arial" w:hAnsi="Arial"/>
          <w:i/>
          <w:iCs/>
          <w:color w:val="888888"/>
          <w:sz w:val="18"/>
          <w:szCs w:val="18"/>
        </w:rPr>
        <w:t xml:space="preserve">Instruction: If phased, describe each phase here and reference fee options in Section 4.</w:t>
      </w:r>
    </w:p>
    <w:p>
      <w:pPr>
        <w:spacing w:before="60" w:after="0"/>
      </w:pPr>
      <w:r>
        <w:t xml:space="preserve"/>
      </w:r>
    </w:p>
    <w:p>
      <w:pPr>
        <w:spacing w:before="260" w:after="100"/>
      </w:pPr>
      <w:r>
        <w:rPr>
          <w:rFonts w:ascii="Arial" w:cs="Arial" w:eastAsia="Arial" w:hAnsi="Arial"/>
          <w:b/>
          <w:bCs/>
          <w:caps/>
          <w:color w:val="000000"/>
          <w:sz w:val="22"/>
          <w:szCs w:val="22"/>
        </w:rPr>
        <w:t xml:space="preserve">3.  Baseline Budget Assumptions (For Fee Basis Only)</w:t>
      </w:r>
    </w:p>
    <w:p>
      <w:pPr>
        <w:spacing w:before="50" w:after="50"/>
        <w:jc w:val="left"/>
      </w:pPr>
      <w:r>
        <w:rPr>
          <w:rFonts w:ascii="Arial" w:cs="Arial" w:eastAsia="Arial" w:hAnsi="Arial"/>
          <w:b w:val="false"/>
          <w:bCs w:val="false"/>
          <w:i w:val="false"/>
          <w:iCs w:val="false"/>
          <w:color w:val="1A1A1A"/>
          <w:sz w:val="20"/>
          <w:szCs w:val="20"/>
        </w:rPr>
        <w:t xml:space="preserve">The following are planning-level assumptions used solely to establish the proposed fee. Final construction pricing will be determined by the Owner, contractor procurement, and market conditions.</w:t>
      </w:r>
    </w:p>
    <w:p>
      <w:pPr>
        <w:spacing w:before="80" w:after="0"/>
      </w:pPr>
      <w:r>
        <w:t xml:space="preserve"/>
      </w:r>
    </w:p>
    <w:p>
      <w:pPr>
        <w:spacing w:before="50" w:after="50"/>
      </w:pPr>
      <w:r>
        <w:rPr>
          <w:rFonts w:ascii="Arial" w:cs="Arial" w:eastAsia="Arial" w:hAnsi="Arial"/>
          <w:i/>
          <w:iCs/>
          <w:color w:val="888888"/>
          <w:sz w:val="18"/>
          <w:szCs w:val="18"/>
        </w:rPr>
        <w:t xml:space="preserve">Instruction: Use Section 4A (Fixed / % of Cost) table below, or skip to 4B / 4C / 4D as applicable. Delete unused sections before issuing.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2280"/>
        <w:gridCol w:w="1200"/>
      </w:tblGrid>
      <w:tr>
        <w:tc>
          <w:tcPr>
            <w:tcW w:type="dxa" w:w="36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Item</w:t>
            </w:r>
          </w:p>
        </w:tc>
        <w:tc>
          <w:tcPr>
            <w:tcW w:type="dxa" w:w="228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Formula</w:t>
            </w:r>
          </w:p>
        </w:tc>
        <w:tc>
          <w:tcPr>
            <w:tcW w:type="dxa" w:w="228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Estimated Amount</w:t>
            </w:r>
          </w:p>
        </w:tc>
        <w:tc>
          <w:tcPr>
            <w:tcW w:type="dxa" w:w="12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Estimated building area</w:t>
            </w:r>
          </w:p>
        </w:tc>
        <w:tc>
          <w:tcPr>
            <w:tcW w:type="dxa" w:w="22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 SF</w:t>
            </w:r>
          </w:p>
        </w:tc>
        <w:tc>
          <w:tcPr>
            <w:tcW w:type="dxa" w:w="22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 SF</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Estimated construction cost</w:t>
            </w:r>
          </w:p>
        </w:tc>
        <w:tc>
          <w:tcPr>
            <w:tcW w:type="dxa" w:w="22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 SF x $____/SF</w:t>
            </w:r>
          </w:p>
        </w:tc>
        <w:tc>
          <w:tcPr>
            <w:tcW w:type="dxa" w:w="22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Planning level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Architectural fee basis</w:t>
            </w:r>
          </w:p>
        </w:tc>
        <w:tc>
          <w:tcPr>
            <w:tcW w:type="dxa" w:w="22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 x Est. Cost</w:t>
            </w:r>
          </w:p>
        </w:tc>
        <w:tc>
          <w:tcPr>
            <w:tcW w:type="dxa" w:w="22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Rounded</w:t>
            </w:r>
          </w:p>
        </w:tc>
      </w:tr>
      <w:tr>
        <w:tc>
          <w:tcPr>
            <w:tcW w:type="dxa" w:w="36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Proposed Fee</w:t>
            </w:r>
          </w:p>
        </w:tc>
        <w:tc>
          <w:tcPr>
            <w:tcW w:type="dxa" w:w="228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
            </w:r>
          </w:p>
        </w:tc>
        <w:tc>
          <w:tcPr>
            <w:tcW w:type="dxa" w:w="228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$__________</w:t>
            </w:r>
          </w:p>
        </w:tc>
        <w:tc>
          <w:tcPr>
            <w:tcW w:type="dxa" w:w="12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
            </w:r>
          </w:p>
        </w:tc>
      </w:tr>
    </w:tbl>
    <w:p>
      <w:pPr>
        <w:spacing w:before="50" w:after="50"/>
      </w:pPr>
      <w:r>
        <w:rPr>
          <w:rFonts w:ascii="Arial" w:cs="Arial" w:eastAsia="Arial" w:hAnsi="Arial"/>
          <w:i/>
          <w:iCs/>
          <w:color w:val="888888"/>
          <w:sz w:val="18"/>
          <w:szCs w:val="18"/>
        </w:rPr>
        <w:t xml:space="preserve">Note: Budget assumptions herein are for fee justification only and are not a guarantee of final construction cost.</w:t>
      </w:r>
    </w:p>
    <w:p>
      <w:pPr>
        <w:spacing w:before="80" w:after="0"/>
      </w:pPr>
      <w:r>
        <w:t xml:space="preserve"/>
      </w:r>
    </w:p>
    <w:p>
      <w:pPr>
        <w:spacing w:before="260" w:after="100"/>
      </w:pPr>
      <w:r>
        <w:rPr>
          <w:rFonts w:ascii="Arial" w:cs="Arial" w:eastAsia="Arial" w:hAnsi="Arial"/>
          <w:b/>
          <w:bCs/>
          <w:caps/>
          <w:color w:val="000000"/>
          <w:sz w:val="22"/>
          <w:szCs w:val="22"/>
        </w:rPr>
        <w:t xml:space="preserve">4.  Fee Proposal — Select One Structure</w:t>
      </w:r>
    </w:p>
    <w:p>
      <w:pPr>
        <w:spacing w:before="50" w:after="50"/>
      </w:pPr>
      <w:r>
        <w:rPr>
          <w:rFonts w:ascii="Arial" w:cs="Arial" w:eastAsia="Arial" w:hAnsi="Arial"/>
          <w:i/>
          <w:iCs/>
          <w:color w:val="888888"/>
          <w:sz w:val="18"/>
          <w:szCs w:val="18"/>
        </w:rPr>
        <w:t xml:space="preserve">Instruction: Complete ONE of the four sub-sections below (4A, 4B, 4C, or 4D). Delete the others before issuing.</w:t>
      </w:r>
    </w:p>
    <w:p>
      <w:pPr>
        <w:spacing w:before="60" w:after="0"/>
      </w:pPr>
      <w:r>
        <w:t xml:space="preserve"/>
      </w:r>
    </w:p>
    <w:p>
      <w:pPr>
        <w:spacing w:before="160" w:after="60"/>
      </w:pPr>
      <w:r>
        <w:rPr>
          <w:rFonts w:ascii="Arial" w:cs="Arial" w:eastAsia="Arial" w:hAnsi="Arial"/>
          <w:b/>
          <w:bCs/>
          <w:color w:val="1A1A1A"/>
          <w:sz w:val="21"/>
          <w:szCs w:val="21"/>
        </w:rPr>
        <w:t xml:space="preserve">4A.  Fixed Fee / Lump Sum</w:t>
      </w:r>
    </w:p>
    <w:p>
      <w:pPr>
        <w:spacing w:before="50" w:after="50"/>
        <w:jc w:val="left"/>
      </w:pPr>
      <w:r>
        <w:rPr>
          <w:rFonts w:ascii="Arial" w:cs="Arial" w:eastAsia="Arial" w:hAnsi="Arial"/>
          <w:b w:val="false"/>
          <w:bCs w:val="false"/>
          <w:i w:val="false"/>
          <w:iCs w:val="false"/>
          <w:color w:val="1A1A1A"/>
          <w:sz w:val="20"/>
          <w:szCs w:val="20"/>
        </w:rPr>
        <w:t xml:space="preserve">M4D proposes a fixed fee of $__________ for the services described in this Agreement. The fee is inclusive of all M4D labor and is not subject to adjustment based on actual hours, unless scope changes are authorized by written amendment.</w:t>
      </w:r>
    </w:p>
    <w:p>
      <w:pPr>
        <w:spacing w:before="60" w:after="0"/>
      </w:pPr>
      <w:r>
        <w:t xml:space="preserve"/>
      </w:r>
    </w:p>
    <w:p>
      <w:pPr>
        <w:spacing w:before="50" w:after="50"/>
        <w:jc w:val="left"/>
      </w:pPr>
      <w:r>
        <w:rPr>
          <w:rFonts w:ascii="Arial" w:cs="Arial" w:eastAsia="Arial" w:hAnsi="Arial"/>
          <w:b/>
          <w:bCs/>
          <w:i w:val="false"/>
          <w:iCs w:val="false"/>
          <w:color w:val="1A1A1A"/>
          <w:sz w:val="20"/>
          <w:szCs w:val="20"/>
        </w:rPr>
        <w:t xml:space="preserve">Milestone billing schedule: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Milestone / Deliverable</w:t>
            </w:r>
          </w:p>
        </w:tc>
        <w:tc>
          <w:tcPr>
            <w:tcW w:type="dxa" w:w="18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 of Fee</w:t>
            </w:r>
          </w:p>
        </w:tc>
        <w:tc>
          <w:tcPr>
            <w:tcW w:type="dxa" w:w="18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Amount</w:t>
            </w:r>
          </w:p>
        </w:tc>
      </w:tr>
      <w:tr>
        <w:tc>
          <w:tcPr>
            <w:tcW w:type="dxa" w:w="5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Upon execution / Notice to Proceed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5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Schematic / Design Development completion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25%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5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75% Construction Documents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25%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5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Permit submission / Issue Set delivery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25%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5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Construction Administration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576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Total Fixed Fee</w:t>
            </w:r>
          </w:p>
        </w:tc>
        <w:tc>
          <w:tcPr>
            <w:tcW w:type="dxa" w:w="18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100%</w:t>
            </w:r>
          </w:p>
        </w:tc>
        <w:tc>
          <w:tcPr>
            <w:tcW w:type="dxa" w:w="18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$__________</w:t>
            </w:r>
          </w:p>
        </w:tc>
      </w:tr>
    </w:tbl>
    <w:p>
      <w:pPr>
        <w:spacing w:before="80" w:after="0"/>
      </w:pPr>
      <w:r>
        <w:t xml:space="preserve"/>
      </w:r>
    </w:p>
    <w:p>
      <w:pPr>
        <w:spacing w:before="160" w:after="60"/>
      </w:pPr>
      <w:r>
        <w:rPr>
          <w:rFonts w:ascii="Arial" w:cs="Arial" w:eastAsia="Arial" w:hAnsi="Arial"/>
          <w:b/>
          <w:bCs/>
          <w:color w:val="1A1A1A"/>
          <w:sz w:val="21"/>
          <w:szCs w:val="21"/>
        </w:rPr>
        <w:t xml:space="preserve">4B.  Selectable Option Fee (Phased / Multiple Scope Options)</w:t>
      </w:r>
    </w:p>
    <w:p>
      <w:pPr>
        <w:spacing w:before="50" w:after="50"/>
        <w:jc w:val="left"/>
      </w:pPr>
      <w:r>
        <w:rPr>
          <w:rFonts w:ascii="Arial" w:cs="Arial" w:eastAsia="Arial" w:hAnsi="Arial"/>
          <w:b w:val="false"/>
          <w:bCs w:val="false"/>
          <w:i w:val="false"/>
          <w:iCs w:val="false"/>
          <w:color w:val="1A1A1A"/>
          <w:sz w:val="20"/>
          <w:szCs w:val="20"/>
        </w:rPr>
        <w:t xml:space="preserve">The Owner may authorize one of the following scope options. Select one option and sign in Section 12.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700"/>
        <w:gridCol w:w="1700"/>
        <w:gridCol w:w="1760"/>
      </w:tblGrid>
      <w:tr>
        <w:tc>
          <w:tcPr>
            <w:tcW w:type="dxa" w:w="14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Option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Scope Authorized</w:t>
            </w:r>
          </w:p>
        </w:tc>
        <w:tc>
          <w:tcPr>
            <w:tcW w:type="dxa" w:w="17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Architecture</w:t>
            </w:r>
          </w:p>
        </w:tc>
        <w:tc>
          <w:tcPr>
            <w:tcW w:type="dxa" w:w="17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Total Fee</w:t>
            </w:r>
          </w:p>
        </w:tc>
        <w:tc>
          <w:tcPr>
            <w:tcW w:type="dxa" w:w="176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Authorize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Option 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[PHASE 1 / FULL SCOPE]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$__________</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  Select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Option 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[PHASE 1 + PHASE 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$__________</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  Select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Option 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[FULL SCOPE / ALL PHASES]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$__________</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  Select</w:t>
            </w:r>
          </w:p>
        </w:tc>
      </w:tr>
    </w:tbl>
    <w:p>
      <w:pPr>
        <w:spacing w:before="50" w:after="50"/>
      </w:pPr>
      <w:r>
        <w:rPr>
          <w:rFonts w:ascii="Arial" w:cs="Arial" w:eastAsia="Arial" w:hAnsi="Arial"/>
          <w:i/>
          <w:iCs/>
          <w:color w:val="888888"/>
          <w:sz w:val="18"/>
          <w:szCs w:val="18"/>
        </w:rPr>
        <w:t xml:space="preserve">Note: If Option 1 is selected, subsequent phases may be activated by written authorization or amendment under this Agreement.</w:t>
      </w:r>
    </w:p>
    <w:p>
      <w:pPr>
        <w:spacing w:before="80" w:after="0"/>
      </w:pPr>
      <w:r>
        <w:t xml:space="preserve"/>
      </w:r>
    </w:p>
    <w:p>
      <w:pPr>
        <w:spacing w:before="160" w:after="60"/>
      </w:pPr>
      <w:r>
        <w:rPr>
          <w:rFonts w:ascii="Arial" w:cs="Arial" w:eastAsia="Arial" w:hAnsi="Arial"/>
          <w:b/>
          <w:bCs/>
          <w:color w:val="1A1A1A"/>
          <w:sz w:val="21"/>
          <w:szCs w:val="21"/>
        </w:rPr>
        <w:t xml:space="preserve">4C.  Hourly — Not-to-Exceed</w:t>
      </w:r>
    </w:p>
    <w:p>
      <w:pPr>
        <w:spacing w:before="50" w:after="50"/>
        <w:jc w:val="left"/>
      </w:pPr>
      <w:r>
        <w:rPr>
          <w:rFonts w:ascii="Arial" w:cs="Arial" w:eastAsia="Arial" w:hAnsi="Arial"/>
          <w:b w:val="false"/>
          <w:bCs w:val="false"/>
          <w:i w:val="false"/>
          <w:iCs w:val="false"/>
          <w:color w:val="1A1A1A"/>
          <w:sz w:val="20"/>
          <w:szCs w:val="20"/>
        </w:rPr>
        <w:t xml:space="preserve">Services will be billed hourly at the rates below. AA will not exceed the Not-to-Exceed total without prior written authorization. Monthly invoices will include an hours summary by role.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Role / Category</w:t>
            </w:r>
          </w:p>
        </w:tc>
        <w:tc>
          <w:tcPr>
            <w:tcW w:type="dxa" w:w="192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Rate</w:t>
            </w:r>
          </w:p>
        </w:tc>
        <w:tc>
          <w:tcPr>
            <w:tcW w:type="dxa" w:w="192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Est. Hours</w:t>
            </w:r>
          </w:p>
        </w:tc>
        <w:tc>
          <w:tcPr>
            <w:tcW w:type="dxa" w:w="192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r>
              <w:rPr>
                <w:rFonts w:ascii="Arial" w:cs="Arial" w:eastAsia="Arial" w:hAnsi="Arial"/>
                <w:b/>
                <w:bCs/>
                <w:color w:val="1A1A1A"/>
                <w:sz w:val="19"/>
                <w:szCs w:val="19"/>
              </w:rPr>
              <w:t xml:space="preserve">Est. Fee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Principal Architect</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$____/hr</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Project Manager / Owner&amp;#x2019;s Rep</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$____/hr</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Technical / Production</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$____/hr</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[Additional Role]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$____/hr</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$__________</w:t>
            </w:r>
          </w:p>
        </w:tc>
      </w:tr>
      <w:tr>
        <w:tc>
          <w:tcPr>
            <w:tcW w:type="dxa" w:w="360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Not-to-Exceed Total</w:t>
            </w:r>
          </w:p>
        </w:tc>
        <w:tc>
          <w:tcPr>
            <w:tcW w:type="dxa" w:w="192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
            </w:r>
          </w:p>
        </w:tc>
        <w:tc>
          <w:tcPr>
            <w:tcW w:type="dxa" w:w="192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val="false"/>
                <w:bCs w:val="false"/>
                <w:color w:val="1A1A1A"/>
                <w:sz w:val="19"/>
                <w:szCs w:val="19"/>
              </w:rPr>
              <w:t xml:space="preserve"/>
            </w:r>
          </w:p>
        </w:tc>
        <w:tc>
          <w:tcPr>
            <w:tcW w:type="dxa" w:w="1920"/>
            <w:tcBorders>
              <w:top w:val="single" w:color="CCCCCC" w:sz="4"/>
              <w:left w:val="single" w:color="CCCCCC" w:sz="4"/>
              <w:bottom w:val="single" w:color="CCCCCC" w:sz="4"/>
              <w:right w:val="single" w:color="CCCCCC" w:sz="4"/>
            </w:tcBorders>
            <w:shd w:fill="F0F0F0" w:val="clear"/>
            <w:tcMar>
              <w:top w:type="dxa" w:w="80"/>
              <w:left w:type="dxa" w:w="130"/>
              <w:bottom w:type="dxa" w:w="80"/>
              <w:right w:type="dxa" w:w="130"/>
            </w:tcMar>
            <w:vAlign w:val="center"/>
          </w:tcPr>
          <w:p>
            <w:pPr>
              <w:jc w:val="left"/>
            </w:pPr>
            <w:r>
              <w:rPr>
                <w:rFonts w:ascii="Arial" w:cs="Arial" w:eastAsia="Arial" w:hAnsi="Arial"/>
                <w:b/>
                <w:bCs/>
                <w:color w:val="1A1A1A"/>
                <w:sz w:val="19"/>
                <w:szCs w:val="19"/>
              </w:rPr>
              <w:t xml:space="preserve">$__________</w:t>
            </w:r>
          </w:p>
        </w:tc>
      </w:tr>
    </w:tbl>
    <w:p>
      <w:pPr>
        <w:spacing w:before="50" w:after="50"/>
      </w:pPr>
      <w:r>
        <w:rPr>
          <w:rFonts w:ascii="Arial" w:cs="Arial" w:eastAsia="Arial" w:hAnsi="Arial"/>
          <w:i/>
          <w:iCs/>
          <w:color w:val="888888"/>
          <w:sz w:val="18"/>
          <w:szCs w:val="18"/>
        </w:rPr>
        <w:t xml:space="preserve">Note: Unused hours are not credited. Overage requires written amendment before incurrence.</w:t>
      </w:r>
    </w:p>
    <w:p>
      <w:pPr>
        <w:spacing w:before="80" w:after="0"/>
      </w:pPr>
      <w:r>
        <w:t xml:space="preserve"/>
      </w:r>
    </w:p>
    <w:p>
      <w:pPr>
        <w:spacing w:before="160" w:after="60"/>
      </w:pPr>
      <w:r>
        <w:rPr>
          <w:rFonts w:ascii="Arial" w:cs="Arial" w:eastAsia="Arial" w:hAnsi="Arial"/>
          <w:b/>
          <w:bCs/>
          <w:color w:val="1A1A1A"/>
          <w:sz w:val="21"/>
          <w:szCs w:val="21"/>
        </w:rPr>
        <w:t xml:space="preserve">4D.  Percentage of Construction Cost</w:t>
      </w:r>
    </w:p>
    <w:p>
      <w:pPr>
        <w:spacing w:before="50" w:after="50"/>
        <w:jc w:val="left"/>
      </w:pPr>
      <w:r>
        <w:rPr>
          <w:rFonts w:ascii="Arial" w:cs="Arial" w:eastAsia="Arial" w:hAnsi="Arial"/>
          <w:b w:val="false"/>
          <w:bCs w:val="false"/>
          <w:i w:val="false"/>
          <w:iCs w:val="false"/>
          <w:color w:val="1A1A1A"/>
          <w:sz w:val="20"/>
          <w:szCs w:val="20"/>
        </w:rPr>
        <w:t xml:space="preserve">The architectural fee is established as ______% of the final contracted construction cost. An initial retainer of $__________ is due at execution, credited against the final invoice. Invoices issued monthly based on estimated percentage of construction cost committed to date, with final true-up upon general contractor contract execution.</w:t>
      </w:r>
    </w:p>
    <w:p>
      <w:pPr>
        <w:spacing w:before="50" w:after="50"/>
      </w:pPr>
      <w:r>
        <w:rPr>
          <w:rFonts w:ascii="Arial" w:cs="Arial" w:eastAsia="Arial" w:hAnsi="Arial"/>
          <w:i/>
          <w:iCs/>
          <w:color w:val="888888"/>
          <w:sz w:val="18"/>
          <w:szCs w:val="18"/>
        </w:rPr>
        <w:t xml:space="preserve">Note: If final construction cost differs materially from the planning-level estimate in Section 3, the parties shall confirm the adjusted fee in writing prior to permit submission.</w:t>
      </w:r>
    </w:p>
    <w:p>
      <w:pPr>
        <w:spacing w:before="80" w:after="0"/>
      </w:pPr>
      <w:r>
        <w:t xml:space="preserve"/>
      </w:r>
    </w:p>
    <w:p>
      <w:pPr>
        <w:spacing w:before="260" w:after="100"/>
      </w:pPr>
      <w:r>
        <w:rPr>
          <w:rFonts w:ascii="Arial" w:cs="Arial" w:eastAsia="Arial" w:hAnsi="Arial"/>
          <w:b/>
          <w:bCs/>
          <w:caps/>
          <w:color w:val="000000"/>
          <w:sz w:val="22"/>
          <w:szCs w:val="22"/>
        </w:rPr>
        <w:t xml:space="preserve">5.  Engineering and Consultant Services (Separate Owner Cost)</w:t>
      </w:r>
    </w:p>
    <w:p>
      <w:pPr>
        <w:spacing w:before="50" w:after="50"/>
        <w:jc w:val="left"/>
      </w:pPr>
      <w:r>
        <w:rPr>
          <w:rFonts w:ascii="Arial" w:cs="Arial" w:eastAsia="Arial" w:hAnsi="Arial"/>
          <w:b w:val="false"/>
          <w:bCs w:val="false"/>
          <w:i w:val="false"/>
          <w:iCs w:val="false"/>
          <w:color w:val="1A1A1A"/>
          <w:sz w:val="20"/>
          <w:szCs w:val="20"/>
        </w:rPr>
        <w:t xml:space="preserve">Engineering and survey services are not included in the AA fee and are anticipated as separate Owner costs. AA will coordinate with those consultants as part of the architectural scope.</w:t>
      </w:r>
    </w:p>
    <w:p>
      <w:pPr>
        <w:spacing w:before="50" w:after="0"/>
      </w:pPr>
      <w:r>
        <w:t xml:space="preserve"/>
      </w:r>
    </w:p>
    <w:p>
      <w:pPr>
        <w:pStyle w:val="ListParagraph"/>
        <w:numPr>
          <w:ilvl w:val="0"/>
          <w:numId w:val="2"/>
        </w:numPr>
        <w:spacing w:before="36" w:after="36"/>
      </w:pPr>
      <w:r>
        <w:rPr>
          <w:rFonts w:ascii="Arial" w:cs="Arial" w:eastAsia="Arial" w:hAnsi="Arial"/>
          <w:b w:val="false"/>
          <w:bCs w:val="false"/>
          <w:color w:val="1A1A1A"/>
          <w:sz w:val="20"/>
          <w:szCs w:val="20"/>
        </w:rPr>
        <w:t xml:space="preserve">Boundary and topographic survey</w:t>
      </w:r>
    </w:p>
    <w:p>
      <w:pPr>
        <w:pStyle w:val="ListParagraph"/>
        <w:numPr>
          <w:ilvl w:val="0"/>
          <w:numId w:val="2"/>
        </w:numPr>
        <w:spacing w:before="36" w:after="36"/>
      </w:pPr>
      <w:r>
        <w:rPr>
          <w:rFonts w:ascii="Arial" w:cs="Arial" w:eastAsia="Arial" w:hAnsi="Arial"/>
          <w:b w:val="false"/>
          <w:bCs w:val="false"/>
          <w:color w:val="1A1A1A"/>
          <w:sz w:val="20"/>
          <w:szCs w:val="20"/>
        </w:rPr>
        <w:t xml:space="preserve">Civil engineering and site design</w:t>
      </w:r>
    </w:p>
    <w:p>
      <w:pPr>
        <w:pStyle w:val="ListParagraph"/>
        <w:numPr>
          <w:ilvl w:val="0"/>
          <w:numId w:val="2"/>
        </w:numPr>
        <w:spacing w:before="36" w:after="36"/>
      </w:pPr>
      <w:r>
        <w:rPr>
          <w:rFonts w:ascii="Arial" w:cs="Arial" w:eastAsia="Arial" w:hAnsi="Arial"/>
          <w:b w:val="false"/>
          <w:bCs w:val="false"/>
          <w:color w:val="1A1A1A"/>
          <w:sz w:val="20"/>
          <w:szCs w:val="20"/>
        </w:rPr>
        <w:t xml:space="preserve">Structural engineering</w:t>
      </w:r>
    </w:p>
    <w:p>
      <w:pPr>
        <w:pStyle w:val="ListParagraph"/>
        <w:numPr>
          <w:ilvl w:val="0"/>
          <w:numId w:val="2"/>
        </w:numPr>
        <w:spacing w:before="36" w:after="36"/>
      </w:pPr>
      <w:r>
        <w:rPr>
          <w:rFonts w:ascii="Arial" w:cs="Arial" w:eastAsia="Arial" w:hAnsi="Arial"/>
          <w:b w:val="false"/>
          <w:bCs w:val="false"/>
          <w:color w:val="1A1A1A"/>
          <w:sz w:val="20"/>
          <w:szCs w:val="20"/>
        </w:rPr>
        <w:t xml:space="preserve">Mechanical, electrical, and plumbing (MEP) engineering</w:t>
      </w:r>
    </w:p>
    <w:p>
      <w:pPr>
        <w:pStyle w:val="ListParagraph"/>
        <w:numPr>
          <w:ilvl w:val="0"/>
          <w:numId w:val="2"/>
        </w:numPr>
        <w:spacing w:before="36" w:after="36"/>
      </w:pPr>
      <w:r>
        <w:rPr>
          <w:rFonts w:ascii="Arial" w:cs="Arial" w:eastAsia="Arial" w:hAnsi="Arial"/>
          <w:b w:val="false"/>
          <w:bCs w:val="false"/>
          <w:color w:val="1A1A1A"/>
          <w:sz w:val="20"/>
          <w:szCs w:val="20"/>
        </w:rPr>
        <w:t xml:space="preserve">Fire protection engineering (if required)</w:t>
      </w:r>
    </w:p>
    <w:p>
      <w:pPr>
        <w:pStyle w:val="ListParagraph"/>
        <w:numPr>
          <w:ilvl w:val="0"/>
          <w:numId w:val="2"/>
        </w:numPr>
        <w:spacing w:before="36" w:after="36"/>
      </w:pPr>
      <w:r>
        <w:rPr>
          <w:rFonts w:ascii="Arial" w:cs="Arial" w:eastAsia="Arial" w:hAnsi="Arial"/>
          <w:b w:val="false"/>
          <w:bCs w:val="false"/>
          <w:color w:val="1A1A1A"/>
          <w:sz w:val="20"/>
          <w:szCs w:val="20"/>
        </w:rPr>
        <w:t xml:space="preserve">Geotechnical investigation (if required)</w:t>
      </w:r>
    </w:p>
    <w:p>
      <w:pPr>
        <w:pStyle w:val="ListParagraph"/>
        <w:numPr>
          <w:ilvl w:val="0"/>
          <w:numId w:val="2"/>
        </w:numPr>
        <w:spacing w:before="36" w:after="36"/>
      </w:pPr>
      <w:r>
        <w:rPr>
          <w:rFonts w:ascii="Arial" w:cs="Arial" w:eastAsia="Arial" w:hAnsi="Arial"/>
          <w:b w:val="false"/>
          <w:bCs w:val="false"/>
          <w:color w:val="1A1A1A"/>
          <w:sz w:val="20"/>
          <w:szCs w:val="20"/>
        </w:rPr>
        <w:t xml:space="preserve">Permit fees, application fees, utility fees, and third-party review charges</w:t>
      </w:r>
    </w:p>
    <w:p>
      <w:pPr>
        <w:pStyle w:val="ListParagraph"/>
        <w:numPr>
          <w:ilvl w:val="0"/>
          <w:numId w:val="2"/>
        </w:numPr>
        <w:spacing w:before="36" w:after="36"/>
      </w:pPr>
      <w:r>
        <w:rPr>
          <w:rFonts w:ascii="Arial" w:cs="Arial" w:eastAsia="Arial" w:hAnsi="Arial"/>
          <w:b w:val="false"/>
          <w:bCs w:val="false"/>
          <w:color w:val="1A1A1A"/>
          <w:sz w:val="20"/>
          <w:szCs w:val="20"/>
        </w:rPr>
        <w:t xml:space="preserve">[Additional: _______________]</w:t>
      </w:r>
    </w:p>
    <w:p>
      <w:pPr>
        <w:spacing w:before="80" w:after="0"/>
      </w:pPr>
      <w:r>
        <w:t xml:space="preserve"/>
      </w:r>
    </w:p>
    <w:p>
      <w:pPr>
        <w:spacing w:before="260" w:after="100"/>
      </w:pPr>
      <w:r>
        <w:rPr>
          <w:rFonts w:ascii="Arial" w:cs="Arial" w:eastAsia="Arial" w:hAnsi="Arial"/>
          <w:b/>
          <w:bCs/>
          <w:caps/>
          <w:color w:val="000000"/>
          <w:sz w:val="22"/>
          <w:szCs w:val="22"/>
        </w:rPr>
        <w:t xml:space="preserve">6.  Scope of M4D Services</w:t>
      </w:r>
    </w:p>
    <w:p>
      <w:pPr>
        <w:spacing w:before="50" w:after="50"/>
      </w:pPr>
      <w:r>
        <w:rPr>
          <w:rFonts w:ascii="Arial" w:cs="Arial" w:eastAsia="Arial" w:hAnsi="Arial"/>
          <w:i/>
          <w:iCs/>
          <w:color w:val="888888"/>
          <w:sz w:val="18"/>
          <w:szCs w:val="18"/>
        </w:rPr>
        <w:t xml:space="preserve">Instruction: Delete categories not applicable. Add phases (A, B, C…) if phased. Retain only what is authorized.</w:t>
      </w:r>
    </w:p>
    <w:p>
      <w:pPr>
        <w:spacing w:before="50" w:after="0"/>
      </w:pPr>
      <w:r>
        <w:t xml:space="preserve"/>
      </w:r>
    </w:p>
    <w:p>
      <w:pPr>
        <w:spacing w:before="160" w:after="60"/>
      </w:pPr>
      <w:r>
        <w:rPr>
          <w:rFonts w:ascii="Arial" w:cs="Arial" w:eastAsia="Arial" w:hAnsi="Arial"/>
          <w:b/>
          <w:bCs/>
          <w:color w:val="1A1A1A"/>
          <w:sz w:val="21"/>
          <w:szCs w:val="21"/>
        </w:rPr>
        <w:t xml:space="preserve">A.  Pre-Design / Feasibility</w:t>
      </w:r>
    </w:p>
    <w:p>
      <w:pPr>
        <w:pStyle w:val="ListParagraph"/>
        <w:numPr>
          <w:ilvl w:val="0"/>
          <w:numId w:val="2"/>
        </w:numPr>
        <w:spacing w:before="36" w:after="36"/>
      </w:pPr>
      <w:r>
        <w:rPr>
          <w:rFonts w:ascii="Arial" w:cs="Arial" w:eastAsia="Arial" w:hAnsi="Arial"/>
          <w:b w:val="false"/>
          <w:bCs w:val="false"/>
          <w:color w:val="1A1A1A"/>
          <w:sz w:val="20"/>
          <w:szCs w:val="20"/>
        </w:rPr>
        <w:t xml:space="preserve">Zoning and code review; buildable envelope analysis</w:t>
      </w:r>
    </w:p>
    <w:p>
      <w:pPr>
        <w:pStyle w:val="ListParagraph"/>
        <w:numPr>
          <w:ilvl w:val="0"/>
          <w:numId w:val="2"/>
        </w:numPr>
        <w:spacing w:before="36" w:after="36"/>
      </w:pPr>
      <w:r>
        <w:rPr>
          <w:rFonts w:ascii="Arial" w:cs="Arial" w:eastAsia="Arial" w:hAnsi="Arial"/>
          <w:b w:val="false"/>
          <w:bCs w:val="false"/>
          <w:color w:val="1A1A1A"/>
          <w:sz w:val="20"/>
          <w:szCs w:val="20"/>
        </w:rPr>
        <w:t xml:space="preserve">Program development and space planning</w:t>
      </w:r>
    </w:p>
    <w:p>
      <w:pPr>
        <w:pStyle w:val="ListParagraph"/>
        <w:numPr>
          <w:ilvl w:val="0"/>
          <w:numId w:val="2"/>
        </w:numPr>
        <w:spacing w:before="36" w:after="36"/>
      </w:pPr>
      <w:r>
        <w:rPr>
          <w:rFonts w:ascii="Arial" w:cs="Arial" w:eastAsia="Arial" w:hAnsi="Arial"/>
          <w:b w:val="false"/>
          <w:bCs w:val="false"/>
          <w:color w:val="1A1A1A"/>
          <w:sz w:val="20"/>
          <w:szCs w:val="20"/>
        </w:rPr>
        <w:t xml:space="preserve">Existing conditions coordination and field verification</w:t>
      </w:r>
    </w:p>
    <w:p>
      <w:pPr>
        <w:pStyle w:val="ListParagraph"/>
        <w:numPr>
          <w:ilvl w:val="0"/>
          <w:numId w:val="2"/>
        </w:numPr>
        <w:spacing w:before="36" w:after="36"/>
      </w:pPr>
      <w:r>
        <w:rPr>
          <w:rFonts w:ascii="Arial" w:cs="Arial" w:eastAsia="Arial" w:hAnsi="Arial"/>
          <w:b w:val="false"/>
          <w:bCs w:val="false"/>
          <w:color w:val="1A1A1A"/>
          <w:sz w:val="20"/>
          <w:szCs w:val="20"/>
        </w:rPr>
        <w:t xml:space="preserve">[Other: _____________]</w:t>
      </w:r>
    </w:p>
    <w:p>
      <w:pPr>
        <w:spacing w:before="50" w:after="0"/>
      </w:pPr>
      <w:r>
        <w:t xml:space="preserve"/>
      </w:r>
    </w:p>
    <w:p>
      <w:pPr>
        <w:spacing w:before="160" w:after="60"/>
      </w:pPr>
      <w:r>
        <w:rPr>
          <w:rFonts w:ascii="Arial" w:cs="Arial" w:eastAsia="Arial" w:hAnsi="Arial"/>
          <w:b/>
          <w:bCs/>
          <w:color w:val="1A1A1A"/>
          <w:sz w:val="21"/>
          <w:szCs w:val="21"/>
        </w:rPr>
        <w:t xml:space="preserve">B.  Schematic Design</w:t>
      </w:r>
    </w:p>
    <w:p>
      <w:pPr>
        <w:pStyle w:val="ListParagraph"/>
        <w:numPr>
          <w:ilvl w:val="0"/>
          <w:numId w:val="2"/>
        </w:numPr>
        <w:spacing w:before="36" w:after="36"/>
      </w:pPr>
      <w:r>
        <w:rPr>
          <w:rFonts w:ascii="Arial" w:cs="Arial" w:eastAsia="Arial" w:hAnsi="Arial"/>
          <w:b w:val="false"/>
          <w:bCs w:val="false"/>
          <w:color w:val="1A1A1A"/>
          <w:sz w:val="20"/>
          <w:szCs w:val="20"/>
        </w:rPr>
        <w:t xml:space="preserve">Schematic floor plans, elevations, and site plan</w:t>
      </w:r>
    </w:p>
    <w:p>
      <w:pPr>
        <w:pStyle w:val="ListParagraph"/>
        <w:numPr>
          <w:ilvl w:val="0"/>
          <w:numId w:val="2"/>
        </w:numPr>
        <w:spacing w:before="36" w:after="36"/>
      </w:pPr>
      <w:r>
        <w:rPr>
          <w:rFonts w:ascii="Arial" w:cs="Arial" w:eastAsia="Arial" w:hAnsi="Arial"/>
          <w:b w:val="false"/>
          <w:bCs w:val="false"/>
          <w:color w:val="1A1A1A"/>
          <w:sz w:val="20"/>
          <w:szCs w:val="20"/>
        </w:rPr>
        <w:t xml:space="preserve">Design narrative and preliminary materials direction</w:t>
      </w:r>
    </w:p>
    <w:p>
      <w:pPr>
        <w:pStyle w:val="ListParagraph"/>
        <w:numPr>
          <w:ilvl w:val="0"/>
          <w:numId w:val="2"/>
        </w:numPr>
        <w:spacing w:before="36" w:after="36"/>
      </w:pPr>
      <w:r>
        <w:rPr>
          <w:rFonts w:ascii="Arial" w:cs="Arial" w:eastAsia="Arial" w:hAnsi="Arial"/>
          <w:b w:val="false"/>
          <w:bCs w:val="false"/>
          <w:color w:val="1A1A1A"/>
          <w:sz w:val="20"/>
          <w:szCs w:val="20"/>
        </w:rPr>
        <w:t xml:space="preserve">Owner review and comment incorporation</w:t>
      </w:r>
    </w:p>
    <w:p>
      <w:pPr>
        <w:spacing w:before="50" w:after="0"/>
      </w:pPr>
      <w:r>
        <w:t xml:space="preserve"/>
      </w:r>
    </w:p>
    <w:p>
      <w:pPr>
        <w:spacing w:before="160" w:after="60"/>
      </w:pPr>
      <w:r>
        <w:rPr>
          <w:rFonts w:ascii="Arial" w:cs="Arial" w:eastAsia="Arial" w:hAnsi="Arial"/>
          <w:b/>
          <w:bCs/>
          <w:color w:val="1A1A1A"/>
          <w:sz w:val="21"/>
          <w:szCs w:val="21"/>
        </w:rPr>
        <w:t xml:space="preserve">C.  Design Development</w:t>
      </w:r>
    </w:p>
    <w:p>
      <w:pPr>
        <w:pStyle w:val="ListParagraph"/>
        <w:numPr>
          <w:ilvl w:val="0"/>
          <w:numId w:val="2"/>
        </w:numPr>
        <w:spacing w:before="36" w:after="36"/>
      </w:pPr>
      <w:r>
        <w:rPr>
          <w:rFonts w:ascii="Arial" w:cs="Arial" w:eastAsia="Arial" w:hAnsi="Arial"/>
          <w:b w:val="false"/>
          <w:bCs w:val="false"/>
          <w:color w:val="1A1A1A"/>
          <w:sz w:val="20"/>
          <w:szCs w:val="20"/>
        </w:rPr>
        <w:t xml:space="preserve">Developed floor plans, elevations, sections, and key details</w:t>
      </w:r>
    </w:p>
    <w:p>
      <w:pPr>
        <w:pStyle w:val="ListParagraph"/>
        <w:numPr>
          <w:ilvl w:val="0"/>
          <w:numId w:val="2"/>
        </w:numPr>
        <w:spacing w:before="36" w:after="36"/>
      </w:pPr>
      <w:r>
        <w:rPr>
          <w:rFonts w:ascii="Arial" w:cs="Arial" w:eastAsia="Arial" w:hAnsi="Arial"/>
          <w:b w:val="false"/>
          <w:bCs w:val="false"/>
          <w:color w:val="1A1A1A"/>
          <w:sz w:val="20"/>
          <w:szCs w:val="20"/>
        </w:rPr>
        <w:t xml:space="preserve">Preliminary FF&amp;E direction</w:t>
      </w:r>
    </w:p>
    <w:p>
      <w:pPr>
        <w:pStyle w:val="ListParagraph"/>
        <w:numPr>
          <w:ilvl w:val="0"/>
          <w:numId w:val="2"/>
        </w:numPr>
        <w:spacing w:before="36" w:after="36"/>
      </w:pPr>
      <w:r>
        <w:rPr>
          <w:rFonts w:ascii="Arial" w:cs="Arial" w:eastAsia="Arial" w:hAnsi="Arial"/>
          <w:b w:val="false"/>
          <w:bCs w:val="false"/>
          <w:color w:val="1A1A1A"/>
          <w:sz w:val="20"/>
          <w:szCs w:val="20"/>
        </w:rPr>
        <w:t xml:space="preserve">Consultant coordination at design development level</w:t>
      </w:r>
    </w:p>
    <w:p>
      <w:pPr>
        <w:spacing w:before="50" w:after="0"/>
      </w:pPr>
      <w:r>
        <w:t xml:space="preserve"/>
      </w:r>
    </w:p>
    <w:p>
      <w:pPr>
        <w:spacing w:before="160" w:after="60"/>
      </w:pPr>
      <w:r>
        <w:rPr>
          <w:rFonts w:ascii="Arial" w:cs="Arial" w:eastAsia="Arial" w:hAnsi="Arial"/>
          <w:b/>
          <w:bCs/>
          <w:color w:val="1A1A1A"/>
          <w:sz w:val="21"/>
          <w:szCs w:val="21"/>
        </w:rPr>
        <w:t xml:space="preserve">D.  Construction Documents and Permitting</w:t>
      </w:r>
    </w:p>
    <w:p>
      <w:pPr>
        <w:pStyle w:val="ListParagraph"/>
        <w:numPr>
          <w:ilvl w:val="0"/>
          <w:numId w:val="2"/>
        </w:numPr>
        <w:spacing w:before="36" w:after="36"/>
      </w:pPr>
      <w:r>
        <w:rPr>
          <w:rFonts w:ascii="Arial" w:cs="Arial" w:eastAsia="Arial" w:hAnsi="Arial"/>
          <w:b w:val="false"/>
          <w:bCs w:val="false"/>
          <w:color w:val="1A1A1A"/>
          <w:sz w:val="20"/>
          <w:szCs w:val="20"/>
        </w:rPr>
        <w:t xml:space="preserve">Complete architectural drawing package for permit and construction</w:t>
      </w:r>
    </w:p>
    <w:p>
      <w:pPr>
        <w:pStyle w:val="ListParagraph"/>
        <w:numPr>
          <w:ilvl w:val="0"/>
          <w:numId w:val="2"/>
        </w:numPr>
        <w:spacing w:before="36" w:after="36"/>
      </w:pPr>
      <w:r>
        <w:rPr>
          <w:rFonts w:ascii="Arial" w:cs="Arial" w:eastAsia="Arial" w:hAnsi="Arial"/>
          <w:b w:val="false"/>
          <w:bCs w:val="false"/>
          <w:color w:val="1A1A1A"/>
          <w:sz w:val="20"/>
          <w:szCs w:val="20"/>
        </w:rPr>
        <w:t xml:space="preserve">Code, life safety, and accessibility compliance documentation</w:t>
      </w:r>
    </w:p>
    <w:p>
      <w:pPr>
        <w:pStyle w:val="ListParagraph"/>
        <w:numPr>
          <w:ilvl w:val="0"/>
          <w:numId w:val="2"/>
        </w:numPr>
        <w:spacing w:before="36" w:after="36"/>
      </w:pPr>
      <w:r>
        <w:rPr>
          <w:rFonts w:ascii="Arial" w:cs="Arial" w:eastAsia="Arial" w:hAnsi="Arial"/>
          <w:b w:val="false"/>
          <w:bCs w:val="false"/>
          <w:color w:val="1A1A1A"/>
          <w:sz w:val="20"/>
          <w:szCs w:val="20"/>
        </w:rPr>
        <w:t xml:space="preserve">Short-form specifications on drawings [or separately bound, if applicable]</w:t>
      </w:r>
    </w:p>
    <w:p>
      <w:pPr>
        <w:pStyle w:val="ListParagraph"/>
        <w:numPr>
          <w:ilvl w:val="0"/>
          <w:numId w:val="2"/>
        </w:numPr>
        <w:spacing w:before="36" w:after="36"/>
      </w:pPr>
      <w:r>
        <w:rPr>
          <w:rFonts w:ascii="Arial" w:cs="Arial" w:eastAsia="Arial" w:hAnsi="Arial"/>
          <w:b w:val="false"/>
          <w:bCs w:val="false"/>
          <w:color w:val="1A1A1A"/>
          <w:sz w:val="20"/>
          <w:szCs w:val="20"/>
        </w:rPr>
        <w:t xml:space="preserve">Permit coordination and response to AHJ comments through permit issuance</w:t>
      </w:r>
    </w:p>
    <w:p>
      <w:pPr>
        <w:spacing w:before="50" w:after="0"/>
      </w:pPr>
      <w:r>
        <w:t xml:space="preserve"/>
      </w:r>
    </w:p>
    <w:p>
      <w:pPr>
        <w:spacing w:before="160" w:after="60"/>
      </w:pPr>
      <w:r>
        <w:rPr>
          <w:rFonts w:ascii="Arial" w:cs="Arial" w:eastAsia="Arial" w:hAnsi="Arial"/>
          <w:b/>
          <w:bCs/>
          <w:color w:val="1A1A1A"/>
          <w:sz w:val="21"/>
          <w:szCs w:val="21"/>
        </w:rPr>
        <w:t xml:space="preserve">E.  Construction Administration</w:t>
      </w:r>
    </w:p>
    <w:p>
      <w:pPr>
        <w:pStyle w:val="ListParagraph"/>
        <w:numPr>
          <w:ilvl w:val="0"/>
          <w:numId w:val="2"/>
        </w:numPr>
        <w:spacing w:before="36" w:after="36"/>
      </w:pPr>
      <w:r>
        <w:rPr>
          <w:rFonts w:ascii="Arial" w:cs="Arial" w:eastAsia="Arial" w:hAnsi="Arial"/>
          <w:b w:val="false"/>
          <w:bCs w:val="false"/>
          <w:color w:val="1A1A1A"/>
          <w:sz w:val="20"/>
          <w:szCs w:val="20"/>
        </w:rPr>
        <w:t xml:space="preserve">Review of architectural RFIs and submittals</w:t>
      </w:r>
    </w:p>
    <w:p>
      <w:pPr>
        <w:pStyle w:val="ListParagraph"/>
        <w:numPr>
          <w:ilvl w:val="0"/>
          <w:numId w:val="2"/>
        </w:numPr>
        <w:spacing w:before="36" w:after="36"/>
      </w:pPr>
      <w:r>
        <w:rPr>
          <w:rFonts w:ascii="Arial" w:cs="Arial" w:eastAsia="Arial" w:hAnsi="Arial"/>
          <w:b w:val="false"/>
          <w:bCs w:val="false"/>
          <w:color w:val="1A1A1A"/>
          <w:sz w:val="20"/>
          <w:szCs w:val="20"/>
        </w:rPr>
        <w:t xml:space="preserve">Up to [__] site visits at key project milestones</w:t>
      </w:r>
    </w:p>
    <w:p>
      <w:pPr>
        <w:pStyle w:val="ListParagraph"/>
        <w:numPr>
          <w:ilvl w:val="0"/>
          <w:numId w:val="2"/>
        </w:numPr>
        <w:spacing w:before="36" w:after="36"/>
      </w:pPr>
      <w:r>
        <w:rPr>
          <w:rFonts w:ascii="Arial" w:cs="Arial" w:eastAsia="Arial" w:hAnsi="Arial"/>
          <w:b w:val="false"/>
          <w:bCs w:val="false"/>
          <w:color w:val="1A1A1A"/>
          <w:sz w:val="20"/>
          <w:szCs w:val="20"/>
        </w:rPr>
        <w:t xml:space="preserve">One punch list / substantial completion observation visit</w:t>
      </w:r>
    </w:p>
    <w:p>
      <w:pPr>
        <w:pStyle w:val="ListParagraph"/>
        <w:numPr>
          <w:ilvl w:val="0"/>
          <w:numId w:val="2"/>
        </w:numPr>
        <w:spacing w:before="36" w:after="36"/>
      </w:pPr>
      <w:r>
        <w:rPr>
          <w:rFonts w:ascii="Arial" w:cs="Arial" w:eastAsia="Arial" w:hAnsi="Arial"/>
          <w:b w:val="false"/>
          <w:bCs w:val="false"/>
          <w:color w:val="1A1A1A"/>
          <w:sz w:val="20"/>
          <w:szCs w:val="20"/>
        </w:rPr>
        <w:t xml:space="preserve">Does not include full-time observation, contractor supervision, or cost control</w:t>
      </w:r>
    </w:p>
    <w:p>
      <w:pPr>
        <w:spacing w:before="50" w:after="0"/>
      </w:pPr>
      <w:r>
        <w:t xml:space="preserve"/>
      </w:r>
    </w:p>
    <w:p>
      <w:pPr>
        <w:spacing w:before="160" w:after="60"/>
      </w:pPr>
      <w:r>
        <w:rPr>
          <w:rFonts w:ascii="Arial" w:cs="Arial" w:eastAsia="Arial" w:hAnsi="Arial"/>
          <w:b/>
          <w:bCs/>
          <w:color w:val="1A1A1A"/>
          <w:sz w:val="21"/>
          <w:szCs w:val="21"/>
        </w:rPr>
        <w:t xml:space="preserve">F.  Project Management / Owner’s Representative (if authorized)</w:t>
      </w:r>
    </w:p>
    <w:p>
      <w:pPr>
        <w:pStyle w:val="ListParagraph"/>
        <w:numPr>
          <w:ilvl w:val="0"/>
          <w:numId w:val="2"/>
        </w:numPr>
        <w:spacing w:before="36" w:after="36"/>
      </w:pPr>
      <w:r>
        <w:rPr>
          <w:rFonts w:ascii="Arial" w:cs="Arial" w:eastAsia="Arial" w:hAnsi="Arial"/>
          <w:b w:val="false"/>
          <w:bCs w:val="false"/>
          <w:color w:val="1A1A1A"/>
          <w:sz w:val="20"/>
          <w:szCs w:val="20"/>
        </w:rPr>
        <w:t xml:space="preserve">Preconstruction coordination: scheduling, milestone mapping, phasing logistics</w:t>
      </w:r>
    </w:p>
    <w:p>
      <w:pPr>
        <w:pStyle w:val="ListParagraph"/>
        <w:numPr>
          <w:ilvl w:val="0"/>
          <w:numId w:val="2"/>
        </w:numPr>
        <w:spacing w:before="36" w:after="36"/>
      </w:pPr>
      <w:r>
        <w:rPr>
          <w:rFonts w:ascii="Arial" w:cs="Arial" w:eastAsia="Arial" w:hAnsi="Arial"/>
          <w:b w:val="false"/>
          <w:bCs w:val="false"/>
          <w:color w:val="1A1A1A"/>
          <w:sz w:val="20"/>
          <w:szCs w:val="20"/>
        </w:rPr>
        <w:t xml:space="preserve">Bid and contractor procurement support</w:t>
      </w:r>
    </w:p>
    <w:p>
      <w:pPr>
        <w:pStyle w:val="ListParagraph"/>
        <w:numPr>
          <w:ilvl w:val="0"/>
          <w:numId w:val="2"/>
        </w:numPr>
        <w:spacing w:before="36" w:after="36"/>
      </w:pPr>
      <w:r>
        <w:rPr>
          <w:rFonts w:ascii="Arial" w:cs="Arial" w:eastAsia="Arial" w:hAnsi="Arial"/>
          <w:b w:val="false"/>
          <w:bCs w:val="false"/>
          <w:color w:val="1A1A1A"/>
          <w:sz w:val="20"/>
          <w:szCs w:val="20"/>
        </w:rPr>
        <w:t xml:space="preserve">Lender and investor exhibits: budget narratives, phasing, scope summaries</w:t>
      </w:r>
    </w:p>
    <w:p>
      <w:pPr>
        <w:pStyle w:val="ListParagraph"/>
        <w:numPr>
          <w:ilvl w:val="0"/>
          <w:numId w:val="2"/>
        </w:numPr>
        <w:spacing w:before="36" w:after="36"/>
      </w:pPr>
      <w:r>
        <w:rPr>
          <w:rFonts w:ascii="Arial" w:cs="Arial" w:eastAsia="Arial" w:hAnsi="Arial"/>
          <w:b w:val="false"/>
          <w:bCs w:val="false"/>
          <w:color w:val="1A1A1A"/>
          <w:sz w:val="20"/>
          <w:szCs w:val="20"/>
        </w:rPr>
        <w:t xml:space="preserve">Stakeholder and agency coordination</w:t>
      </w:r>
    </w:p>
    <w:p>
      <w:pPr>
        <w:pStyle w:val="ListParagraph"/>
        <w:numPr>
          <w:ilvl w:val="0"/>
          <w:numId w:val="2"/>
        </w:numPr>
        <w:spacing w:before="36" w:after="36"/>
      </w:pPr>
      <w:r>
        <w:rPr>
          <w:rFonts w:ascii="Arial" w:cs="Arial" w:eastAsia="Arial" w:hAnsi="Arial"/>
          <w:b w:val="false"/>
          <w:bCs w:val="false"/>
          <w:color w:val="1A1A1A"/>
          <w:sz w:val="20"/>
          <w:szCs w:val="20"/>
        </w:rPr>
        <w:t xml:space="preserve">Closeout coordination: turnover checklist, documentation, and training support</w:t>
      </w:r>
    </w:p>
    <w:p>
      <w:pPr>
        <w:spacing w:before="80" w:after="0"/>
      </w:pPr>
      <w:r>
        <w:t xml:space="preserve"/>
      </w:r>
    </w:p>
    <w:p>
      <w:pPr>
        <w:spacing w:before="260" w:after="100"/>
      </w:pPr>
      <w:r>
        <w:rPr>
          <w:rFonts w:ascii="Arial" w:cs="Arial" w:eastAsia="Arial" w:hAnsi="Arial"/>
          <w:b/>
          <w:bCs/>
          <w:caps/>
          <w:color w:val="000000"/>
          <w:sz w:val="22"/>
          <w:szCs w:val="22"/>
        </w:rPr>
        <w:t xml:space="preserve">7.  Exclusions (Not Included Unless Added by Amendment)</w:t>
      </w:r>
    </w:p>
    <w:p>
      <w:pPr>
        <w:pStyle w:val="ListParagraph"/>
        <w:numPr>
          <w:ilvl w:val="0"/>
          <w:numId w:val="2"/>
        </w:numPr>
        <w:spacing w:before="36" w:after="36"/>
      </w:pPr>
      <w:r>
        <w:rPr>
          <w:rFonts w:ascii="Arial" w:cs="Arial" w:eastAsia="Arial" w:hAnsi="Arial"/>
          <w:b w:val="false"/>
          <w:bCs w:val="false"/>
          <w:color w:val="1A1A1A"/>
          <w:sz w:val="20"/>
          <w:szCs w:val="20"/>
        </w:rPr>
        <w:t xml:space="preserve">Major redesign after Owner approval of the project basis</w:t>
      </w:r>
    </w:p>
    <w:p>
      <w:pPr>
        <w:pStyle w:val="ListParagraph"/>
        <w:numPr>
          <w:ilvl w:val="0"/>
          <w:numId w:val="2"/>
        </w:numPr>
        <w:spacing w:before="36" w:after="36"/>
      </w:pPr>
      <w:r>
        <w:rPr>
          <w:rFonts w:ascii="Arial" w:cs="Arial" w:eastAsia="Arial" w:hAnsi="Arial"/>
          <w:b w:val="false"/>
          <w:bCs w:val="false"/>
          <w:color w:val="1A1A1A"/>
          <w:sz w:val="20"/>
          <w:szCs w:val="20"/>
        </w:rPr>
        <w:t xml:space="preserve">Additional zoning hearings or extensive entitlement revisions beyond included scope</w:t>
      </w:r>
    </w:p>
    <w:p>
      <w:pPr>
        <w:pStyle w:val="ListParagraph"/>
        <w:numPr>
          <w:ilvl w:val="0"/>
          <w:numId w:val="2"/>
        </w:numPr>
        <w:spacing w:before="36" w:after="36"/>
      </w:pPr>
      <w:r>
        <w:rPr>
          <w:rFonts w:ascii="Arial" w:cs="Arial" w:eastAsia="Arial" w:hAnsi="Arial"/>
          <w:b w:val="false"/>
          <w:bCs w:val="false"/>
          <w:color w:val="1A1A1A"/>
          <w:sz w:val="20"/>
          <w:szCs w:val="20"/>
        </w:rPr>
        <w:t xml:space="preserve">Detailed interior design, custom millwork, branding, or furniture procurement</w:t>
      </w:r>
    </w:p>
    <w:p>
      <w:pPr>
        <w:pStyle w:val="ListParagraph"/>
        <w:numPr>
          <w:ilvl w:val="0"/>
          <w:numId w:val="2"/>
        </w:numPr>
        <w:spacing w:before="36" w:after="36"/>
      </w:pPr>
      <w:r>
        <w:rPr>
          <w:rFonts w:ascii="Arial" w:cs="Arial" w:eastAsia="Arial" w:hAnsi="Arial"/>
          <w:b w:val="false"/>
          <w:bCs w:val="false"/>
          <w:color w:val="1A1A1A"/>
          <w:sz w:val="20"/>
          <w:szCs w:val="20"/>
        </w:rPr>
        <w:t xml:space="preserve">Special inspections, testing, commissioning, or third-party certifications</w:t>
      </w:r>
    </w:p>
    <w:p>
      <w:pPr>
        <w:pStyle w:val="ListParagraph"/>
        <w:numPr>
          <w:ilvl w:val="0"/>
          <w:numId w:val="2"/>
        </w:numPr>
        <w:spacing w:before="36" w:after="36"/>
      </w:pPr>
      <w:r>
        <w:rPr>
          <w:rFonts w:ascii="Arial" w:cs="Arial" w:eastAsia="Arial" w:hAnsi="Arial"/>
          <w:b w:val="false"/>
          <w:bCs w:val="false"/>
          <w:color w:val="1A1A1A"/>
          <w:sz w:val="20"/>
          <w:szCs w:val="20"/>
        </w:rPr>
        <w:t xml:space="preserve">Expanded construction administration or extra site visits beyond those included</w:t>
      </w:r>
    </w:p>
    <w:p>
      <w:pPr>
        <w:pStyle w:val="ListParagraph"/>
        <w:numPr>
          <w:ilvl w:val="0"/>
          <w:numId w:val="2"/>
        </w:numPr>
        <w:spacing w:before="36" w:after="36"/>
      </w:pPr>
      <w:r>
        <w:rPr>
          <w:rFonts w:ascii="Arial" w:cs="Arial" w:eastAsia="Arial" w:hAnsi="Arial"/>
          <w:b w:val="false"/>
          <w:bCs w:val="false"/>
          <w:color w:val="1A1A1A"/>
          <w:sz w:val="20"/>
          <w:szCs w:val="20"/>
        </w:rPr>
        <w:t xml:space="preserve">Civil engineering beyond limited coordination; geotechnical or environmental assessments</w:t>
      </w:r>
    </w:p>
    <w:p>
      <w:pPr>
        <w:pStyle w:val="ListParagraph"/>
        <w:numPr>
          <w:ilvl w:val="0"/>
          <w:numId w:val="2"/>
        </w:numPr>
        <w:spacing w:before="36" w:after="36"/>
      </w:pPr>
      <w:r>
        <w:rPr>
          <w:rFonts w:ascii="Arial" w:cs="Arial" w:eastAsia="Arial" w:hAnsi="Arial"/>
          <w:b w:val="false"/>
          <w:bCs w:val="false"/>
          <w:color w:val="1A1A1A"/>
          <w:sz w:val="20"/>
          <w:szCs w:val="20"/>
        </w:rPr>
        <w:t xml:space="preserve">Legal services, real estate negotiation, or title and survey procurement</w:t>
      </w:r>
    </w:p>
    <w:p>
      <w:pPr>
        <w:pStyle w:val="ListParagraph"/>
        <w:numPr>
          <w:ilvl w:val="0"/>
          <w:numId w:val="2"/>
        </w:numPr>
        <w:spacing w:before="36" w:after="36"/>
      </w:pPr>
      <w:r>
        <w:rPr>
          <w:rFonts w:ascii="Arial" w:cs="Arial" w:eastAsia="Arial" w:hAnsi="Arial"/>
          <w:b w:val="false"/>
          <w:bCs w:val="false"/>
          <w:color w:val="1A1A1A"/>
          <w:sz w:val="20"/>
          <w:szCs w:val="20"/>
        </w:rPr>
        <w:t xml:space="preserve">[Project-specific exclusion: _____________]</w:t>
      </w:r>
    </w:p>
    <w:p>
      <w:pPr>
        <w:spacing w:before="80" w:after="0"/>
      </w:pPr>
      <w:r>
        <w:t xml:space="preserve"/>
      </w:r>
    </w:p>
    <w:p>
      <w:pPr>
        <w:spacing w:before="260" w:after="100"/>
      </w:pPr>
      <w:r>
        <w:rPr>
          <w:rFonts w:ascii="Arial" w:cs="Arial" w:eastAsia="Arial" w:hAnsi="Arial"/>
          <w:b/>
          <w:bCs/>
          <w:caps/>
          <w:color w:val="000000"/>
          <w:sz w:val="22"/>
          <w:szCs w:val="22"/>
        </w:rPr>
        <w:t xml:space="preserve">8.  Schedule (Planning-Level)</w:t>
      </w:r>
    </w:p>
    <w:p>
      <w:pPr>
        <w:spacing w:before="50" w:after="50"/>
        <w:jc w:val="left"/>
      </w:pPr>
      <w:r>
        <w:rPr>
          <w:rFonts w:ascii="Arial" w:cs="Arial" w:eastAsia="Arial" w:hAnsi="Arial"/>
          <w:b w:val="false"/>
          <w:bCs w:val="false"/>
          <w:i w:val="false"/>
          <w:iCs w:val="false"/>
          <w:color w:val="1A1A1A"/>
          <w:sz w:val="20"/>
          <w:szCs w:val="20"/>
        </w:rPr>
        <w:t xml:space="preserve">Assuming timely Owner decisions, ordinary consultant responsiveness, and a typical AHJ review process:</w:t>
      </w:r>
    </w:p>
    <w:p>
      <w:pPr>
        <w:spacing w:before="50" w:after="0"/>
      </w:pPr>
      <w:r>
        <w:t xml:space="preserve"/>
      </w:r>
    </w:p>
    <w:p>
      <w:pPr>
        <w:pStyle w:val="ListParagraph"/>
        <w:numPr>
          <w:ilvl w:val="0"/>
          <w:numId w:val="2"/>
        </w:numPr>
        <w:spacing w:before="36" w:after="36"/>
      </w:pPr>
      <w:r>
        <w:rPr>
          <w:rFonts w:ascii="Arial" w:cs="Arial" w:eastAsia="Arial" w:hAnsi="Arial"/>
          <w:b w:val="false"/>
          <w:bCs w:val="false"/>
          <w:color w:val="1A1A1A"/>
          <w:sz w:val="20"/>
          <w:szCs w:val="20"/>
        </w:rPr>
        <w:t xml:space="preserve">Pre-design / Feasibility:  approximately [__] weeks from Notice to Proceed</w:t>
      </w:r>
    </w:p>
    <w:p>
      <w:pPr>
        <w:pStyle w:val="ListParagraph"/>
        <w:numPr>
          <w:ilvl w:val="0"/>
          <w:numId w:val="2"/>
        </w:numPr>
        <w:spacing w:before="36" w:after="36"/>
      </w:pPr>
      <w:r>
        <w:rPr>
          <w:rFonts w:ascii="Arial" w:cs="Arial" w:eastAsia="Arial" w:hAnsi="Arial"/>
          <w:b w:val="false"/>
          <w:bCs w:val="false"/>
          <w:color w:val="1A1A1A"/>
          <w:sz w:val="20"/>
          <w:szCs w:val="20"/>
        </w:rPr>
        <w:t xml:space="preserve">Schematic Design:  approximately [__] weeks</w:t>
      </w:r>
    </w:p>
    <w:p>
      <w:pPr>
        <w:pStyle w:val="ListParagraph"/>
        <w:numPr>
          <w:ilvl w:val="0"/>
          <w:numId w:val="2"/>
        </w:numPr>
        <w:spacing w:before="36" w:after="36"/>
      </w:pPr>
      <w:r>
        <w:rPr>
          <w:rFonts w:ascii="Arial" w:cs="Arial" w:eastAsia="Arial" w:hAnsi="Arial"/>
          <w:b w:val="false"/>
          <w:bCs w:val="false"/>
          <w:color w:val="1A1A1A"/>
          <w:sz w:val="20"/>
          <w:szCs w:val="20"/>
        </w:rPr>
        <w:t xml:space="preserve">Design Development:  approximately [__] weeks</w:t>
      </w:r>
    </w:p>
    <w:p>
      <w:pPr>
        <w:pStyle w:val="ListParagraph"/>
        <w:numPr>
          <w:ilvl w:val="0"/>
          <w:numId w:val="2"/>
        </w:numPr>
        <w:spacing w:before="36" w:after="36"/>
      </w:pPr>
      <w:r>
        <w:rPr>
          <w:rFonts w:ascii="Arial" w:cs="Arial" w:eastAsia="Arial" w:hAnsi="Arial"/>
          <w:b w:val="false"/>
          <w:bCs w:val="false"/>
          <w:color w:val="1A1A1A"/>
          <w:sz w:val="20"/>
          <w:szCs w:val="20"/>
        </w:rPr>
        <w:t xml:space="preserve">Construction Documents:  approximately [__] weeks from approved design basis</w:t>
      </w:r>
    </w:p>
    <w:p>
      <w:pPr>
        <w:pStyle w:val="ListParagraph"/>
        <w:numPr>
          <w:ilvl w:val="0"/>
          <w:numId w:val="2"/>
        </w:numPr>
        <w:spacing w:before="36" w:after="36"/>
      </w:pPr>
      <w:r>
        <w:rPr>
          <w:rFonts w:ascii="Arial" w:cs="Arial" w:eastAsia="Arial" w:hAnsi="Arial"/>
          <w:b w:val="false"/>
          <w:bCs w:val="false"/>
          <w:color w:val="1A1A1A"/>
          <w:sz w:val="20"/>
          <w:szCs w:val="20"/>
        </w:rPr>
        <w:t xml:space="preserve">Permit review:  dependent on AHJ review duration and comment cycle</w:t>
      </w:r>
    </w:p>
    <w:p>
      <w:pPr>
        <w:pStyle w:val="ListParagraph"/>
        <w:numPr>
          <w:ilvl w:val="0"/>
          <w:numId w:val="2"/>
        </w:numPr>
        <w:spacing w:before="36" w:after="36"/>
      </w:pPr>
      <w:r>
        <w:rPr>
          <w:rFonts w:ascii="Arial" w:cs="Arial" w:eastAsia="Arial" w:hAnsi="Arial"/>
          <w:b w:val="false"/>
          <w:bCs w:val="false"/>
          <w:color w:val="1A1A1A"/>
          <w:sz w:val="20"/>
          <w:szCs w:val="20"/>
        </w:rPr>
        <w:t xml:space="preserve">Construction Administration:  during active construction within included scope</w:t>
      </w:r>
    </w:p>
    <w:p>
      <w:pPr>
        <w:spacing w:before="80" w:after="0"/>
      </w:pPr>
      <w:r>
        <w:t xml:space="preserve"/>
      </w:r>
    </w:p>
    <w:p>
      <w:pPr>
        <w:spacing w:before="260" w:after="100"/>
      </w:pPr>
      <w:r>
        <w:rPr>
          <w:rFonts w:ascii="Arial" w:cs="Arial" w:eastAsia="Arial" w:hAnsi="Arial"/>
          <w:b/>
          <w:bCs/>
          <w:caps/>
          <w:color w:val="000000"/>
          <w:sz w:val="22"/>
          <w:szCs w:val="22"/>
        </w:rPr>
        <w:t xml:space="preserve">9.  Payment Terms</w:t>
      </w:r>
    </w:p>
    <w:p>
      <w:pPr>
        <w:spacing w:before="50" w:after="50"/>
        <w:jc w:val="left"/>
      </w:pPr>
      <w:r>
        <w:rPr>
          <w:rFonts w:ascii="Arial" w:cs="Arial" w:eastAsia="Arial" w:hAnsi="Arial"/>
          <w:b w:val="false"/>
          <w:bCs w:val="false"/>
          <w:i w:val="false"/>
          <w:iCs w:val="false"/>
          <w:color w:val="1A1A1A"/>
          <w:sz w:val="20"/>
          <w:szCs w:val="20"/>
        </w:rPr>
        <w:t xml:space="preserve">Invoices are due within [15 / 30] days of issuance. Unpaid balances after [30] days are subject to a monthly service charge of [1.5%]. M4D reserves the right to suspend services upon [10] days’ written notice if invoices remain unpaid.</w:t>
      </w:r>
    </w:p>
    <w:p>
      <w:pPr>
        <w:spacing w:before="50" w:after="0"/>
      </w:pPr>
      <w:r>
        <w:t xml:space="preserve"/>
      </w:r>
    </w:p>
    <w:p>
      <w:pPr>
        <w:pStyle w:val="ListParagraph"/>
        <w:numPr>
          <w:ilvl w:val="0"/>
          <w:numId w:val="2"/>
        </w:numPr>
        <w:spacing w:before="36" w:after="36"/>
      </w:pPr>
      <w:r>
        <w:rPr>
          <w:rFonts w:ascii="Arial" w:cs="Arial" w:eastAsia="Arial" w:hAnsi="Arial"/>
          <w:b w:val="false"/>
          <w:bCs w:val="false"/>
          <w:color w:val="1A1A1A"/>
          <w:sz w:val="20"/>
          <w:szCs w:val="20"/>
        </w:rPr>
        <w:t xml:space="preserve">Out-of-pocket reimbursables (printing, travel, specialty postage, filing fees) billed at cost with prior Owner approval</w:t>
      </w:r>
    </w:p>
    <w:p>
      <w:pPr>
        <w:pStyle w:val="ListParagraph"/>
        <w:numPr>
          <w:ilvl w:val="0"/>
          <w:numId w:val="2"/>
        </w:numPr>
        <w:spacing w:before="36" w:after="36"/>
      </w:pPr>
      <w:r>
        <w:rPr>
          <w:rFonts w:ascii="Arial" w:cs="Arial" w:eastAsia="Arial" w:hAnsi="Arial"/>
          <w:b w:val="false"/>
          <w:bCs w:val="false"/>
          <w:color w:val="1A1A1A"/>
          <w:sz w:val="20"/>
          <w:szCs w:val="20"/>
        </w:rPr>
        <w:t xml:space="preserve">Retainer at execution: [15% of selected option / $__________ / per Section 4]</w:t>
      </w:r>
    </w:p>
    <w:p>
      <w:pPr>
        <w:pStyle w:val="ListParagraph"/>
        <w:numPr>
          <w:ilvl w:val="0"/>
          <w:numId w:val="2"/>
        </w:numPr>
        <w:spacing w:before="36" w:after="36"/>
      </w:pPr>
      <w:r>
        <w:rPr>
          <w:rFonts w:ascii="Arial" w:cs="Arial" w:eastAsia="Arial" w:hAnsi="Arial"/>
          <w:b w:val="false"/>
          <w:bCs w:val="false"/>
          <w:color w:val="1A1A1A"/>
          <w:sz w:val="20"/>
          <w:szCs w:val="20"/>
        </w:rPr>
        <w:t xml:space="preserve">Retainer credited against the final invoice of the authorized scope</w:t>
      </w:r>
    </w:p>
    <w:p>
      <w:pPr>
        <w:spacing w:before="80" w:after="0"/>
      </w:pPr>
      <w:r>
        <w:t xml:space="preserve"/>
      </w:r>
    </w:p>
    <w:p>
      <w:pPr>
        <w:spacing w:before="260" w:after="100"/>
      </w:pPr>
      <w:r>
        <w:rPr>
          <w:rFonts w:ascii="Arial" w:cs="Arial" w:eastAsia="Arial" w:hAnsi="Arial"/>
          <w:b/>
          <w:bCs/>
          <w:caps/>
          <w:color w:val="000000"/>
          <w:sz w:val="22"/>
          <w:szCs w:val="22"/>
        </w:rPr>
        <w:t xml:space="preserve">10.  Assumptions and Clarifications</w:t>
      </w:r>
    </w:p>
    <w:p>
      <w:pPr>
        <w:pStyle w:val="ListParagraph"/>
        <w:numPr>
          <w:ilvl w:val="0"/>
          <w:numId w:val="2"/>
        </w:numPr>
        <w:spacing w:before="36" w:after="36"/>
      </w:pPr>
      <w:r>
        <w:rPr>
          <w:rFonts w:ascii="Arial" w:cs="Arial" w:eastAsia="Arial" w:hAnsi="Arial"/>
          <w:b w:val="false"/>
          <w:bCs w:val="false"/>
          <w:color w:val="1A1A1A"/>
          <w:sz w:val="20"/>
          <w:szCs w:val="20"/>
        </w:rPr>
        <w:t xml:space="preserve">Baseline budgets are for fee justification only; final costs set by contractor pricing and AHJ requirements</w:t>
      </w:r>
    </w:p>
    <w:p>
      <w:pPr>
        <w:pStyle w:val="ListParagraph"/>
        <w:numPr>
          <w:ilvl w:val="0"/>
          <w:numId w:val="2"/>
        </w:numPr>
        <w:spacing w:before="36" w:after="36"/>
      </w:pPr>
      <w:r>
        <w:rPr>
          <w:rFonts w:ascii="Arial" w:cs="Arial" w:eastAsia="Arial" w:hAnsi="Arial"/>
          <w:b w:val="false"/>
          <w:bCs w:val="false"/>
          <w:color w:val="1A1A1A"/>
          <w:sz w:val="20"/>
          <w:szCs w:val="20"/>
        </w:rPr>
        <w:t xml:space="preserve">Owner will provide timely decisions on program, finishes, and operational requirements to avoid schedule impacts</w:t>
      </w:r>
    </w:p>
    <w:p>
      <w:pPr>
        <w:pStyle w:val="ListParagraph"/>
        <w:numPr>
          <w:ilvl w:val="0"/>
          <w:numId w:val="2"/>
        </w:numPr>
        <w:spacing w:before="36" w:after="36"/>
      </w:pPr>
      <w:r>
        <w:rPr>
          <w:rFonts w:ascii="Arial" w:cs="Arial" w:eastAsia="Arial" w:hAnsi="Arial"/>
          <w:b w:val="false"/>
          <w:bCs w:val="false"/>
          <w:color w:val="1A1A1A"/>
          <w:sz w:val="20"/>
          <w:szCs w:val="20"/>
        </w:rPr>
        <w:t xml:space="preserve">Any major scope change requires a written amendment executed by both parties prior to incurrence</w:t>
      </w:r>
    </w:p>
    <w:p>
      <w:pPr>
        <w:pStyle w:val="ListParagraph"/>
        <w:numPr>
          <w:ilvl w:val="0"/>
          <w:numId w:val="2"/>
        </w:numPr>
        <w:spacing w:before="36" w:after="36"/>
      </w:pPr>
      <w:r>
        <w:rPr>
          <w:rFonts w:ascii="Arial" w:cs="Arial" w:eastAsia="Arial" w:hAnsi="Arial"/>
          <w:b w:val="false"/>
          <w:bCs w:val="false"/>
          <w:color w:val="1A1A1A"/>
          <w:sz w:val="20"/>
          <w:szCs w:val="20"/>
        </w:rPr>
        <w:t xml:space="preserve">Consultants retained directly by Owner will provide timely information needed for M4D coordination</w:t>
      </w:r>
    </w:p>
    <w:p>
      <w:pPr>
        <w:pStyle w:val="ListParagraph"/>
        <w:numPr>
          <w:ilvl w:val="0"/>
          <w:numId w:val="2"/>
        </w:numPr>
        <w:spacing w:before="36" w:after="36"/>
      </w:pPr>
      <w:r>
        <w:rPr>
          <w:rFonts w:ascii="Arial" w:cs="Arial" w:eastAsia="Arial" w:hAnsi="Arial"/>
          <w:b w:val="false"/>
          <w:bCs w:val="false"/>
          <w:color w:val="1A1A1A"/>
          <w:sz w:val="20"/>
          <w:szCs w:val="20"/>
        </w:rPr>
        <w:t xml:space="preserve">[Project-specific assumption: _____________]</w:t>
      </w:r>
    </w:p>
    <w:p>
      <w:pPr>
        <w:spacing w:before="80" w:after="0"/>
      </w:pPr>
      <w:r>
        <w:t xml:space="preserve"/>
      </w:r>
    </w:p>
    <w:p>
      <w:pPr>
        <w:spacing w:before="260" w:after="100"/>
      </w:pPr>
      <w:r>
        <w:rPr>
          <w:rFonts w:ascii="Arial" w:cs="Arial" w:eastAsia="Arial" w:hAnsi="Arial"/>
          <w:b/>
          <w:bCs/>
          <w:caps/>
          <w:color w:val="000000"/>
          <w:sz w:val="22"/>
          <w:szCs w:val="22"/>
        </w:rPr>
        <w:t xml:space="preserve">11.  Document Hierarchy</w:t>
      </w:r>
    </w:p>
    <w:p>
      <w:pPr>
        <w:spacing w:before="50" w:after="50"/>
        <w:jc w:val="left"/>
      </w:pPr>
      <w:r>
        <w:rPr>
          <w:rFonts w:ascii="Arial" w:cs="Arial" w:eastAsia="Arial" w:hAnsi="Arial"/>
          <w:b w:val="false"/>
          <w:bCs w:val="false"/>
          <w:i w:val="false"/>
          <w:iCs w:val="false"/>
          <w:color w:val="1A1A1A"/>
          <w:sz w:val="20"/>
          <w:szCs w:val="20"/>
        </w:rPr>
        <w:t xml:space="preserve">In the event of conflict between documents forming this Agreement, the following order of precedence applies:</w:t>
      </w:r>
    </w:p>
    <w:p>
      <w:pPr>
        <w:spacing w:before="50" w:after="0"/>
      </w:pPr>
      <w:r>
        <w:t xml:space="preserve"/>
      </w:r>
    </w:p>
    <w:p>
      <w:pPr>
        <w:pStyle w:val="ListParagraph"/>
        <w:numPr>
          <w:ilvl w:val="0"/>
          <w:numId w:val="2"/>
        </w:numPr>
        <w:spacing w:before="36" w:after="36"/>
      </w:pPr>
      <w:r>
        <w:rPr>
          <w:rFonts w:ascii="Arial" w:cs="Arial" w:eastAsia="Arial" w:hAnsi="Arial"/>
          <w:b w:val="false"/>
          <w:bCs w:val="false"/>
          <w:color w:val="1A1A1A"/>
          <w:sz w:val="20"/>
          <w:szCs w:val="20"/>
        </w:rPr>
        <w:t xml:space="preserve">Written Amendments to this Agreement</w:t>
      </w:r>
    </w:p>
    <w:p>
      <w:pPr>
        <w:pStyle w:val="ListParagraph"/>
        <w:numPr>
          <w:ilvl w:val="0"/>
          <w:numId w:val="2"/>
        </w:numPr>
        <w:spacing w:before="36" w:after="36"/>
      </w:pPr>
      <w:r>
        <w:rPr>
          <w:rFonts w:ascii="Arial" w:cs="Arial" w:eastAsia="Arial" w:hAnsi="Arial"/>
          <w:b w:val="false"/>
          <w:bCs w:val="false"/>
          <w:color w:val="1A1A1A"/>
          <w:sz w:val="20"/>
          <w:szCs w:val="20"/>
        </w:rPr>
        <w:t xml:space="preserve">This Agreement and its Articles</w:t>
      </w:r>
    </w:p>
    <w:p>
      <w:pPr>
        <w:pStyle w:val="ListParagraph"/>
        <w:numPr>
          <w:ilvl w:val="0"/>
          <w:numId w:val="2"/>
        </w:numPr>
        <w:spacing w:before="36" w:after="36"/>
      </w:pPr>
      <w:r>
        <w:rPr>
          <w:rFonts w:ascii="Arial" w:cs="Arial" w:eastAsia="Arial" w:hAnsi="Arial"/>
          <w:b w:val="false"/>
          <w:bCs w:val="false"/>
          <w:color w:val="1A1A1A"/>
          <w:sz w:val="20"/>
          <w:szCs w:val="20"/>
        </w:rPr>
        <w:t xml:space="preserve">Exhibits attached hereto — [LIST EXHIBITS]</w:t>
      </w:r>
    </w:p>
    <w:p>
      <w:pPr>
        <w:pStyle w:val="ListParagraph"/>
        <w:numPr>
          <w:ilvl w:val="0"/>
          <w:numId w:val="2"/>
        </w:numPr>
        <w:spacing w:before="36" w:after="36"/>
      </w:pPr>
      <w:r>
        <w:rPr>
          <w:rFonts w:ascii="Arial" w:cs="Arial" w:eastAsia="Arial" w:hAnsi="Arial"/>
          <w:b w:val="false"/>
          <w:bCs w:val="false"/>
          <w:color w:val="1A1A1A"/>
          <w:sz w:val="20"/>
          <w:szCs w:val="20"/>
        </w:rPr>
        <w:t xml:space="preserve">Supporting project materials provided for reference</w:t>
      </w:r>
    </w:p>
    <w:p>
      <w:pPr>
        <w:spacing w:before="80" w:after="0"/>
      </w:pPr>
      <w:r>
        <w:t xml:space="preserve"/>
      </w:r>
    </w:p>
    <w:p>
      <w:pPr>
        <w:spacing w:before="260" w:after="100"/>
      </w:pPr>
      <w:r>
        <w:rPr>
          <w:rFonts w:ascii="Arial" w:cs="Arial" w:eastAsia="Arial" w:hAnsi="Arial"/>
          <w:b/>
          <w:bCs/>
          <w:caps/>
          <w:color w:val="000000"/>
          <w:sz w:val="22"/>
          <w:szCs w:val="22"/>
        </w:rPr>
        <w:t xml:space="preserve">12.  Acceptance</w:t>
      </w:r>
    </w:p>
    <w:p>
      <w:pPr>
        <w:spacing w:before="50" w:after="50"/>
        <w:jc w:val="left"/>
      </w:pPr>
      <w:r>
        <w:rPr>
          <w:rFonts w:ascii="Arial" w:cs="Arial" w:eastAsia="Arial" w:hAnsi="Arial"/>
          <w:b w:val="false"/>
          <w:bCs w:val="false"/>
          <w:i w:val="false"/>
          <w:iCs w:val="false"/>
          <w:color w:val="1A1A1A"/>
          <w:sz w:val="20"/>
          <w:szCs w:val="20"/>
        </w:rPr>
        <w:t xml:space="preserve">Please sign below to confirm authorization to proceed. If a selectable option is offered in Section 4B, indicate the selected option.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tcPr>
          <w:p>
            <w:pPr>
              <w:spacing w:before="60" w:after="80"/>
            </w:pPr>
            <w:r>
              <w:rPr>
                <w:rFonts w:ascii="Arial" w:cs="Arial" w:eastAsia="Arial" w:hAnsi="Arial"/>
                <w:b/>
                <w:bCs/>
                <w:color w:val="1A1A1A"/>
                <w:sz w:val="20"/>
                <w:szCs w:val="20"/>
              </w:rPr>
              <w:t xml:space="preserve">☐  AUTHORIZE SERVICES</w:t>
            </w:r>
          </w:p>
          <w:p>
            <w:pPr>
              <w:spacing w:before="40" w:after="80"/>
            </w:pPr>
            <w:r>
              <w:rPr>
                <w:rFonts w:ascii="Arial" w:cs="Arial" w:eastAsia="Arial" w:hAnsi="Arial"/>
                <w:color w:val="1A1A1A"/>
                <w:sz w:val="19"/>
                <w:szCs w:val="19"/>
              </w:rPr>
              <w:t xml:space="preserve">Authorize Aubyn Architecture LLC to proceed on the basis of this Agreement.</w:t>
            </w:r>
          </w:p>
          <w:p>
            <w:pPr>
              <w:spacing w:before="80" w:after="40"/>
            </w:pPr>
            <w:r>
              <w:rPr>
                <w:rFonts w:ascii="Arial" w:cs="Arial" w:eastAsia="Arial" w:hAnsi="Arial"/>
                <w:color w:val="1A1A1A"/>
                <w:sz w:val="19"/>
                <w:szCs w:val="19"/>
              </w:rPr>
              <w:t xml:space="preserve">Selected Option / Fee:  $__________</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tcPr>
          <w:p>
            <w:pPr>
              <w:spacing w:before="60" w:after="60"/>
            </w:pPr>
            <w:r>
              <w:rPr>
                <w:rFonts w:ascii="Arial" w:cs="Arial" w:eastAsia="Arial" w:hAnsi="Arial"/>
                <w:b/>
                <w:bCs/>
                <w:color w:val="1A1A1A"/>
                <w:sz w:val="19"/>
                <w:szCs w:val="19"/>
              </w:rPr>
              <w:t xml:space="preserve">AIA B101-2017 NOTE</w:t>
            </w:r>
          </w:p>
          <w:p>
            <w:pPr>
              <w:spacing w:before="40" w:after="40"/>
            </w:pPr>
            <w:r>
              <w:rPr>
                <w:rFonts w:ascii="Arial" w:cs="Arial" w:eastAsia="Arial" w:hAnsi="Arial"/>
                <w:i/>
                <w:iCs/>
                <w:color w:val="888888"/>
                <w:sz w:val="18"/>
                <w:szCs w:val="18"/>
              </w:rPr>
              <w:t xml:space="preserve">The parties acknowledge that a more comprehensive professional services agreement may later be executed using AIA Document B101-2017, at which time the executed agreement shall supersede this document.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tcPr>
          <w:p>
            <w:pPr>
              <w:spacing w:before="60" w:after="60"/>
            </w:pPr>
            <w:r>
              <w:rPr>
                <w:rFonts w:ascii="Arial" w:cs="Arial" w:eastAsia="Arial" w:hAnsi="Arial"/>
                <w:b/>
                <w:bCs/>
                <w:sz w:val="19"/>
                <w:szCs w:val="19"/>
              </w:rPr>
              <w:t xml:space="preserve">Client:</w:t>
            </w:r>
          </w:p>
          <w:p>
            <w:pPr>
              <w:spacing w:before="0" w:after="60"/>
            </w:pPr>
            <w:r>
              <w:rPr>
                <w:rFonts w:ascii="Arial" w:cs="Arial" w:eastAsia="Arial" w:hAnsi="Arial"/>
                <w:color w:val="1A1A1A"/>
                <w:sz w:val="19"/>
                <w:szCs w:val="19"/>
              </w:rPr>
              <w:t xml:space="preserve">[CLIENT NAME / ENTITY]</w:t>
            </w:r>
          </w:p>
          <w:p>
            <w:pPr>
              <w:spacing w:before="160" w:after="40"/>
            </w:pPr>
            <w:r>
              <w:rPr>
                <w:rFonts w:ascii="Arial" w:cs="Arial" w:eastAsia="Arial" w:hAnsi="Arial"/>
                <w:color w:val="1A1A1A"/>
                <w:sz w:val="19"/>
                <w:szCs w:val="19"/>
              </w:rPr>
              <w:t xml:space="preserve">Signature:  ________________________</w:t>
            </w:r>
          </w:p>
          <w:p>
            <w:pPr>
              <w:spacing w:before="40" w:after="60"/>
            </w:pPr>
            <w:r>
              <w:rPr>
                <w:rFonts w:ascii="Arial" w:cs="Arial" w:eastAsia="Arial" w:hAnsi="Arial"/>
                <w:color w:val="1A1A1A"/>
                <w:sz w:val="19"/>
                <w:szCs w:val="19"/>
              </w:rPr>
              <w:t xml:space="preserve">Date:  ______________________________</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tcPr>
          <w:p>
            <w:pPr>
              <w:spacing w:before="60" w:after="60"/>
            </w:pPr>
            <w:r>
              <w:rPr>
                <w:rFonts w:ascii="Arial" w:cs="Arial" w:eastAsia="Arial" w:hAnsi="Arial"/>
                <w:b/>
                <w:bCs/>
                <w:sz w:val="19"/>
                <w:szCs w:val="19"/>
              </w:rPr>
              <w:t xml:space="preserve">Aubyn Architecture LLC:</w:t>
            </w:r>
          </w:p>
          <w:p>
            <w:pPr>
              <w:spacing w:before="0" w:after="60"/>
            </w:pPr>
            <w:r>
              <w:rPr>
                <w:rFonts w:ascii="Arial" w:cs="Arial" w:eastAsia="Arial" w:hAnsi="Arial"/>
                <w:color w:val="1A1A1A"/>
                <w:sz w:val="19"/>
                <w:szCs w:val="19"/>
              </w:rPr>
              <w:t xml:space="preserve">215 N Market St. Suite 317, Wilmington DE 19801</w:t>
            </w:r>
          </w:p>
          <w:p>
            <w:pPr>
              <w:spacing w:before="160" w:after="40"/>
            </w:pPr>
            <w:r>
              <w:rPr>
                <w:rFonts w:ascii="Arial" w:cs="Arial" w:eastAsia="Arial" w:hAnsi="Arial"/>
                <w:color w:val="1A1A1A"/>
                <w:sz w:val="19"/>
                <w:szCs w:val="19"/>
              </w:rPr>
              <w:t xml:space="preserve">Signature:  ________________________</w:t>
            </w:r>
          </w:p>
          <w:p>
            <w:pPr>
              <w:spacing w:before="40" w:after="60"/>
            </w:pPr>
            <w:r>
              <w:rPr>
                <w:rFonts w:ascii="Arial" w:cs="Arial" w:eastAsia="Arial" w:hAnsi="Arial"/>
                <w:color w:val="1A1A1A"/>
                <w:sz w:val="19"/>
                <w:szCs w:val="19"/>
              </w:rPr>
              <w:t xml:space="preserve">Date:  ______________________________</w:t>
            </w:r>
          </w:p>
        </w:tc>
      </w:tr>
    </w:tbl>
    <w:p>
      <w:pPr>
        <w:spacing w:before="80" w:after="0"/>
      </w:pPr>
      <w:r>
        <w:t xml:space="preserve"/>
      </w:r>
    </w:p>
    <w:p>
      <w:pPr>
        <w:spacing w:before="260" w:after="100"/>
      </w:pPr>
      <w:r>
        <w:rPr>
          <w:rFonts w:ascii="Arial" w:cs="Arial" w:eastAsia="Arial" w:hAnsi="Arial"/>
          <w:b/>
          <w:bCs/>
          <w:caps/>
          <w:color w:val="000000"/>
          <w:sz w:val="22"/>
          <w:szCs w:val="22"/>
        </w:rPr>
        <w:t xml:space="preserve">13.  Planning Assumptions / Non-Reliance</w:t>
      </w:r>
    </w:p>
    <w:p>
      <w:pPr>
        <w:spacing w:before="50" w:after="50"/>
      </w:pPr>
      <w:r>
        <w:rPr>
          <w:rFonts w:ascii="Arial" w:cs="Arial" w:eastAsia="Arial" w:hAnsi="Arial"/>
          <w:i/>
          <w:iCs/>
          <w:color w:val="888888"/>
          <w:sz w:val="18"/>
          <w:szCs w:val="18"/>
        </w:rPr>
        <w:t xml:space="preserve">These materials describe design intent and planning assumptions but are not construction documents or a guarantee of final scope, permit outcome, or construction cost. Final implementation remains subject to survey data, consultant coordination, jurisdictional review, field conditions, and Owner decisions. Regulatory or licensing-driven adjustments will be addressed by written amendment.</w:t>
      </w:r>
    </w:p>
    <w:sectPr>
      <w:headerReference w:type="default" r:id="rId6"/>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after="0"/>
    </w:pPr>
    <w:r>
      <w:rPr>
        <w:rFonts w:ascii="Arial" w:cs="Arial" w:eastAsia="Arial" w:hAnsi="Arial"/>
        <w:color w:val="888888"/>
        <w:sz w:val="16"/>
        <w:szCs w:val="16"/>
      </w:rPr>
      <w:t xml:space="preserve">[PROJECT NAME]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aubynarchitecture.com  ·  203 506 2413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r>
            <w:drawing>
              <wp:inline distT="0" distB="0" distL="0" distR="0">
                <wp:extent cx="1428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952500"/>
                        </a:xfrm>
                        <a:prstGeom prst="rect">
                          <a:avLst/>
                        </a:prstGeom>
                      </pic:spPr>
                    </pic:pic>
                  </a:graphicData>
                </a:graphic>
              </wp:inline>
            </w:drawing>
          </w:r>
        </w:p>
      </w:tc>
      <w:tc>
        <w:tcPr>
          <w:tcW w:type="dxa" w:w="8360"/>
          <w:tcBorders>
            <w:top w:val="none" w:color="FFFFFF" w:sz="0"/>
            <w:left w:val="none" w:color="FFFFFF" w:sz="0"/>
            <w:bottom w:val="none" w:color="FFFFFF" w:sz="0"/>
            <w:right w:val="none" w:color="FFFFFF" w:sz="0"/>
          </w:tcBorders>
          <w:tcMar>
            <w:top w:type="dxa" w:w="0"/>
            <w:left w:type="dxa" w:w="0"/>
            <w:bottom w:type="dxa" w:w="60"/>
            <w:right w:type="dxa" w:w="0"/>
          </w:tcMar>
          <w:vAlign w:val="center"/>
        </w:tcPr>
        <w:p>
          <w:r>
            <w:rPr>
              <w:rFonts w:ascii="Arial" w:cs="Arial" w:eastAsia="Arial" w:hAnsi="Arial"/>
              <w:b/>
              <w:bCs/>
              <w:color w:val="000000"/>
              <w:sz w:val="20"/>
              <w:szCs w:val="20"/>
            </w:rPr>
            <w:t xml:space="preserve">AUBYN ARCHITECTURE LLC</w:t>
          </w:r>
        </w:p>
        <w:p>
          <w:r>
            <w:rPr>
              <w:rFonts w:ascii="Arial" w:cs="Arial" w:eastAsia="Arial" w:hAnsi="Arial"/>
              <w:color w:val="888888"/>
              <w:sz w:val="17"/>
              <w:szCs w:val="17"/>
            </w:rPr>
            <w:t xml:space="preserve">Professional Services Agreement  —  [PROJECT NAME]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27c2f57ff5c18fe31375cfb48f487fc296dd2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2026-03-17T00:41:39.569Z</dcterms:created>
  <dcterms:modified xsi:type="dcterms:W3CDTF">2026-03-17T00:41:39.570Z</dcterms:modified>
</cp:coreProperties>
</file>

<file path=docProps/custom.xml><?xml version="1.0" encoding="utf-8"?>
<Properties xmlns="http://schemas.openxmlformats.org/officeDocument/2006/custom-properties" xmlns:vt="http://schemas.openxmlformats.org/officeDocument/2006/docPropsVTypes"/>
</file>