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0" w:after="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trPr>
          <w:trHeight w:val="1219"/>
        </w:trPr>
        <w:tc>
          <w:tcPr>
            <w:tcW w:w="9360" w:type="dxa"/>
            <w:tcBorders>
              <w:top w:val="none" w:sz="0" w:space="0" w:color="FFFFFF"/>
              <w:left w:val="none" w:sz="0" w:space="0" w:color="FFFFFF"/>
              <w:bottom w:val="none" w:sz="0" w:space="0" w:color="FFFFFF"/>
              <w:right w:val="none" w:sz="0" w:space="0" w:color="FFFFFF"/>
            </w:tcBorders>
            <w:shd w:val="clear" w:color="auto" w:fill="CCCCCC"/>
            <w:tcMar>
              <w:top w:w="160" w:type="dxa"/>
              <w:left w:w="180" w:type="dxa"/>
              <w:bottom w:w="160" w:type="dxa"/>
              <w:right w:w="180" w:type="dxa"/>
            </w:tcMar>
          </w:tcPr>
          <w:p>
            <w:pPr>
              <w:spacing w:before="140" w:after="60"/>
              <w:jc w:val="center"/>
            </w:pPr>
            <w:r>
              <w:rPr>
                <w:b/>
                <w:bCs/>
                <w:color w:val="2E7D32"/>
                <w:sz w:val="26"/>
                <w:szCs w:val="26"/>
              </w:rPr>
              <w:t>PROFESSIONAL FEE PROPOSAL</w:t>
            </w:r>
          </w:p>
          <w:p>
            <w:pPr>
              <w:spacing w:before="0" w:after="80"/>
              <w:jc w:val="center"/>
            </w:pPr>
            <w:r>
              <w:rPr>
                <w:b/>
                <w:bCs/>
                <w:color w:val="1F2937"/>
                <w:sz w:val="32"/>
                <w:szCs w:val="32"/>
              </w:rPr>
              <w:t>1212 Lobdel Avenue — Multi-Unit Affordable Infill Housing</w:t>
            </w:r>
          </w:p>
          <w:p>
            <w:pPr>
              <w:spacing w:before="0" w:after="140"/>
              <w:jc w:val="center"/>
            </w:pPr>
            <w:r>
              <w:rPr>
                <w:color w:val="2E7D32"/>
                <w:sz w:val="24"/>
                <w:szCs w:val="24"/>
              </w:rPr>
              <w:t xml:space="preserve">Wilmington, DE  ·  ALDi™ Gate 0 — Predevelopment Intelligence  ·  Track A Services</w:t>
            </w:r>
          </w:p>
        </w:tc>
      </w:tr>
    </w:tbl>
    <w:p>
      <w:pPr>
        <w:spacing w:before="240" w:after="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6480"/>
      </w:tblGrid>
      <w:tr>
        <w:trPr/>
        <w:tc>
          <w:tcPr>
            <w:tcW w:w="2880" w:type="dxa"/>
            <w:tcBorders>
              <w:top w:val="single" w:sz="4" w:space="0" w:color="CCCCCC"/>
              <w:left w:val="single" w:sz="4" w:space="0" w:color="CCCCCC"/>
              <w:bottom w:val="single" w:sz="4" w:space="0" w:color="CCCCCC"/>
              <w:right w:val="single" w:sz="4" w:space="0" w:color="CCCCCC"/>
            </w:tcBorders>
            <w:shd w:val="clear" w:color="auto" w:fill="CCCCCC"/>
            <w:tcMar>
              <w:top w:w="80" w:type="dxa"/>
              <w:left w:w="140" w:type="dxa"/>
              <w:bottom w:w="80" w:type="dxa"/>
              <w:right w:w="140" w:type="dxa"/>
            </w:tcMar>
          </w:tcPr>
          <w:p>
            <w:pPr>
              <w:spacing w:before="0" w:after="0"/>
              <w:jc w:val="right"/>
            </w:pPr>
            <w:r>
              <w:rPr>
                <w:b/>
                <w:bCs/>
                <w:color w:val="444444"/>
                <w:sz w:val="18"/>
                <w:szCs w:val="18"/>
              </w:rPr>
              <w:t>Submitted To</w:t>
            </w:r>
          </w:p>
        </w:tc>
        <w:tc>
          <w:tcPr>
            <w:tcW w:w="648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 xml:space="preserve">Wilmington Housing Authority (WHA)  ·  Wilmington, DE</w:t>
            </w:r>
          </w:p>
        </w:tc>
      </w:tr>
      <w:tr>
        <w:trPr/>
        <w:tc>
          <w:tcPr>
            <w:tcW w:w="2880" w:type="dxa"/>
            <w:tcBorders>
              <w:top w:val="single" w:sz="4" w:space="0" w:color="CCCCCC"/>
              <w:left w:val="single" w:sz="4" w:space="0" w:color="CCCCCC"/>
              <w:bottom w:val="single" w:sz="4" w:space="0" w:color="CCCCCC"/>
              <w:right w:val="single" w:sz="4" w:space="0" w:color="CCCCCC"/>
            </w:tcBorders>
            <w:shd w:val="clear" w:color="auto" w:fill="CCCCCC"/>
            <w:tcMar>
              <w:top w:w="80" w:type="dxa"/>
              <w:left w:w="140" w:type="dxa"/>
              <w:bottom w:w="80" w:type="dxa"/>
              <w:right w:w="140" w:type="dxa"/>
            </w:tcMar>
          </w:tcPr>
          <w:p>
            <w:pPr>
              <w:spacing w:before="0" w:after="0"/>
              <w:jc w:val="right"/>
            </w:pPr>
            <w:r>
              <w:rPr>
                <w:b/>
                <w:bCs/>
                <w:color w:val="444444"/>
                <w:sz w:val="18"/>
                <w:szCs w:val="18"/>
              </w:rPr>
              <w:t>Submitted By</w:t>
            </w:r>
          </w:p>
        </w:tc>
        <w:tc>
          <w:tcPr>
            <w:tcW w:w="648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 xml:space="preserve">Merge 4 Design LLC (M4D)  ·  500 Delaware Ave., Suite 1 #1551, Wilmington, DE 19899  ·  302 367 5726  ·  merge4design.com</w:t>
            </w:r>
          </w:p>
        </w:tc>
      </w:tr>
      <w:tr>
        <w:trPr/>
        <w:tc>
          <w:tcPr>
            <w:tcW w:w="2880" w:type="dxa"/>
            <w:tcBorders>
              <w:top w:val="single" w:sz="4" w:space="0" w:color="CCCCCC"/>
              <w:left w:val="single" w:sz="4" w:space="0" w:color="CCCCCC"/>
              <w:bottom w:val="single" w:sz="4" w:space="0" w:color="CCCCCC"/>
              <w:right w:val="single" w:sz="4" w:space="0" w:color="CCCCCC"/>
            </w:tcBorders>
            <w:shd w:val="clear" w:color="auto" w:fill="CCCCCC"/>
            <w:tcMar>
              <w:top w:w="80" w:type="dxa"/>
              <w:left w:w="140" w:type="dxa"/>
              <w:bottom w:w="80" w:type="dxa"/>
              <w:right w:w="140" w:type="dxa"/>
            </w:tcMar>
          </w:tcPr>
          <w:p>
            <w:pPr>
              <w:spacing w:before="0" w:after="0"/>
              <w:jc w:val="right"/>
            </w:pPr>
            <w:r>
              <w:rPr>
                <w:b/>
                <w:bCs/>
                <w:color w:val="444444"/>
                <w:sz w:val="18"/>
                <w:szCs w:val="18"/>
              </w:rPr>
              <w:t>Date Submitted</w:t>
            </w:r>
          </w:p>
        </w:tc>
        <w:tc>
          <w:tcPr>
            <w:tcW w:w="648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April 2026</w:t>
            </w:r>
          </w:p>
        </w:tc>
      </w:tr>
      <w:tr>
        <w:trPr/>
        <w:tc>
          <w:tcPr>
            <w:tcW w:w="2880" w:type="dxa"/>
            <w:tcBorders>
              <w:top w:val="single" w:sz="4" w:space="0" w:color="CCCCCC"/>
              <w:left w:val="single" w:sz="4" w:space="0" w:color="CCCCCC"/>
              <w:bottom w:val="single" w:sz="4" w:space="0" w:color="CCCCCC"/>
              <w:right w:val="single" w:sz="4" w:space="0" w:color="CCCCCC"/>
            </w:tcBorders>
            <w:shd w:val="clear" w:color="auto" w:fill="CCCCCC"/>
            <w:tcMar>
              <w:top w:w="80" w:type="dxa"/>
              <w:left w:w="140" w:type="dxa"/>
              <w:bottom w:w="80" w:type="dxa"/>
              <w:right w:w="140" w:type="dxa"/>
            </w:tcMar>
          </w:tcPr>
          <w:p>
            <w:pPr>
              <w:spacing w:before="0" w:after="0"/>
              <w:jc w:val="right"/>
            </w:pPr>
            <w:r>
              <w:rPr>
                <w:b/>
                <w:bCs/>
                <w:color w:val="444444"/>
                <w:sz w:val="18"/>
                <w:szCs w:val="18"/>
              </w:rPr>
              <w:t>Project Reference</w:t>
            </w:r>
          </w:p>
        </w:tc>
        <w:tc>
          <w:tcPr>
            <w:tcW w:w="648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 xml:space="preserve">M2_2026_005  ·  1212 Lobdel Avenue</w:t>
            </w:r>
          </w:p>
        </w:tc>
      </w:tr>
      <w:tr>
        <w:trPr/>
        <w:tc>
          <w:tcPr>
            <w:tcW w:w="2880" w:type="dxa"/>
            <w:tcBorders>
              <w:top w:val="single" w:sz="4" w:space="0" w:color="CCCCCC"/>
              <w:left w:val="single" w:sz="4" w:space="0" w:color="CCCCCC"/>
              <w:bottom w:val="single" w:sz="4" w:space="0" w:color="CCCCCC"/>
              <w:right w:val="single" w:sz="4" w:space="0" w:color="CCCCCC"/>
            </w:tcBorders>
            <w:shd w:val="clear" w:color="auto" w:fill="CCCCCC"/>
            <w:tcMar>
              <w:top w:w="80" w:type="dxa"/>
              <w:left w:w="140" w:type="dxa"/>
              <w:bottom w:w="80" w:type="dxa"/>
              <w:right w:w="140" w:type="dxa"/>
            </w:tcMar>
          </w:tcPr>
          <w:p>
            <w:pPr>
              <w:spacing w:before="0" w:after="0"/>
              <w:jc w:val="right"/>
            </w:pPr>
            <w:r>
              <w:rPr>
                <w:b/>
                <w:bCs/>
                <w:color w:val="444444"/>
                <w:sz w:val="18"/>
                <w:szCs w:val="18"/>
              </w:rPr>
              <w:t>Proposal Valid</w:t>
            </w:r>
          </w:p>
        </w:tc>
        <w:tc>
          <w:tcPr>
            <w:tcW w:w="648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90 days from submission date</w:t>
            </w:r>
          </w:p>
        </w:tc>
      </w:tr>
    </w:tbl>
    <w:p>
      <w:r>
        <w:br w:type="page"/>
      </w:r>
    </w:p>
    <w:p>
      <w:pPr>
        <w:pStyle w:val="Heading1"/>
        <w:shd w:val="clear" w:color="auto" w:fill="CCCCCC"/>
        <w:spacing w:after="0"/>
      </w:pPr>
      <w:r>
        <w:rPr>
          <w:b/>
          <w:bCs/>
          <w:color w:val="444444"/>
          <w:sz w:val="26"/>
          <w:szCs w:val="26"/>
        </w:rPr>
        <w:t xml:space="preserve">01.  Project Identification</w:t>
      </w:r>
    </w:p>
    <w:p>
      <w:pPr>
        <w:spacing w:before="80" w:after="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6480"/>
      </w:tblGrid>
      <w:tr>
        <w:trPr/>
        <w:tc>
          <w:tcPr>
            <w:tcW w:w="2880" w:type="dxa"/>
            <w:tcBorders>
              <w:top w:val="single" w:sz="4" w:space="0" w:color="CCCCCC"/>
              <w:left w:val="single" w:sz="4" w:space="0" w:color="CCCCCC"/>
              <w:bottom w:val="single" w:sz="4" w:space="0" w:color="CCCCCC"/>
              <w:right w:val="single" w:sz="4" w:space="0" w:color="CCCCCC"/>
            </w:tcBorders>
            <w:shd w:val="clear" w:color="auto" w:fill="CCCCCC"/>
            <w:tcMar>
              <w:top w:w="80" w:type="dxa"/>
              <w:left w:w="140" w:type="dxa"/>
              <w:bottom w:w="80" w:type="dxa"/>
              <w:right w:w="140" w:type="dxa"/>
            </w:tcMar>
          </w:tcPr>
          <w:p>
            <w:pPr>
              <w:spacing w:before="0" w:after="0"/>
              <w:jc w:val="right"/>
            </w:pPr>
            <w:r>
              <w:rPr>
                <w:b/>
                <w:bCs/>
                <w:color w:val="444444"/>
                <w:sz w:val="18"/>
                <w:szCs w:val="18"/>
              </w:rPr>
              <w:t>Project Name</w:t>
            </w:r>
          </w:p>
        </w:tc>
        <w:tc>
          <w:tcPr>
            <w:tcW w:w="648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1212 Lobdel Avenue — Multi-Unit Affordable Infill Housing</w:t>
            </w:r>
          </w:p>
        </w:tc>
      </w:tr>
      <w:tr>
        <w:trPr/>
        <w:tc>
          <w:tcPr>
            <w:tcW w:w="2880" w:type="dxa"/>
            <w:tcBorders>
              <w:top w:val="single" w:sz="4" w:space="0" w:color="CCCCCC"/>
              <w:left w:val="single" w:sz="4" w:space="0" w:color="CCCCCC"/>
              <w:bottom w:val="single" w:sz="4" w:space="0" w:color="CCCCCC"/>
              <w:right w:val="single" w:sz="4" w:space="0" w:color="CCCCCC"/>
            </w:tcBorders>
            <w:shd w:val="clear" w:color="auto" w:fill="CCCCCC"/>
            <w:tcMar>
              <w:top w:w="80" w:type="dxa"/>
              <w:left w:w="140" w:type="dxa"/>
              <w:bottom w:w="80" w:type="dxa"/>
              <w:right w:w="140" w:type="dxa"/>
            </w:tcMar>
          </w:tcPr>
          <w:p>
            <w:pPr>
              <w:spacing w:before="0" w:after="0"/>
              <w:jc w:val="right"/>
            </w:pPr>
            <w:r>
              <w:rPr>
                <w:b/>
                <w:bCs/>
                <w:color w:val="444444"/>
                <w:sz w:val="18"/>
                <w:szCs w:val="18"/>
              </w:rPr>
              <w:t>Parcel ID</w:t>
            </w:r>
          </w:p>
        </w:tc>
        <w:tc>
          <w:tcPr>
            <w:tcW w:w="648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2605130241</w:t>
            </w:r>
          </w:p>
        </w:tc>
      </w:tr>
      <w:tr>
        <w:trPr/>
        <w:tc>
          <w:tcPr>
            <w:tcW w:w="2880" w:type="dxa"/>
            <w:tcBorders>
              <w:top w:val="single" w:sz="4" w:space="0" w:color="CCCCCC"/>
              <w:left w:val="single" w:sz="4" w:space="0" w:color="CCCCCC"/>
              <w:bottom w:val="single" w:sz="4" w:space="0" w:color="CCCCCC"/>
              <w:right w:val="single" w:sz="4" w:space="0" w:color="CCCCCC"/>
            </w:tcBorders>
            <w:shd w:val="clear" w:color="auto" w:fill="CCCCCC"/>
            <w:tcMar>
              <w:top w:w="80" w:type="dxa"/>
              <w:left w:w="140" w:type="dxa"/>
              <w:bottom w:w="80" w:type="dxa"/>
              <w:right w:w="140" w:type="dxa"/>
            </w:tcMar>
          </w:tcPr>
          <w:p>
            <w:pPr>
              <w:spacing w:before="0" w:after="0"/>
              <w:jc w:val="right"/>
            </w:pPr>
            <w:r>
              <w:rPr>
                <w:b/>
                <w:bCs/>
                <w:color w:val="444444"/>
                <w:sz w:val="18"/>
                <w:szCs w:val="18"/>
              </w:rPr>
              <w:t>Address</w:t>
            </w:r>
          </w:p>
        </w:tc>
        <w:tc>
          <w:tcPr>
            <w:tcW w:w="648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1212 Lobdel Avenue, Wilmington, DE (City of Wilmington limits)</w:t>
            </w:r>
          </w:p>
        </w:tc>
      </w:tr>
      <w:tr>
        <w:trPr/>
        <w:tc>
          <w:tcPr>
            <w:tcW w:w="2880" w:type="dxa"/>
            <w:tcBorders>
              <w:top w:val="single" w:sz="4" w:space="0" w:color="CCCCCC"/>
              <w:left w:val="single" w:sz="4" w:space="0" w:color="CCCCCC"/>
              <w:bottom w:val="single" w:sz="4" w:space="0" w:color="CCCCCC"/>
              <w:right w:val="single" w:sz="4" w:space="0" w:color="CCCCCC"/>
            </w:tcBorders>
            <w:shd w:val="clear" w:color="auto" w:fill="CCCCCC"/>
            <w:tcMar>
              <w:top w:w="80" w:type="dxa"/>
              <w:left w:w="140" w:type="dxa"/>
              <w:bottom w:w="80" w:type="dxa"/>
              <w:right w:w="140" w:type="dxa"/>
            </w:tcMar>
          </w:tcPr>
          <w:p>
            <w:pPr>
              <w:spacing w:before="0" w:after="0"/>
              <w:jc w:val="right"/>
            </w:pPr>
            <w:r>
              <w:rPr>
                <w:b/>
                <w:bCs/>
                <w:color w:val="444444"/>
                <w:sz w:val="18"/>
                <w:szCs w:val="18"/>
              </w:rPr>
              <w:t>Client / Owner</w:t>
            </w:r>
          </w:p>
        </w:tc>
        <w:tc>
          <w:tcPr>
            <w:tcW w:w="648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Wilmington Housing Authority (WHA)</w:t>
            </w:r>
          </w:p>
        </w:tc>
      </w:tr>
      <w:tr>
        <w:trPr/>
        <w:tc>
          <w:tcPr>
            <w:tcW w:w="2880" w:type="dxa"/>
            <w:tcBorders>
              <w:top w:val="single" w:sz="4" w:space="0" w:color="CCCCCC"/>
              <w:left w:val="single" w:sz="4" w:space="0" w:color="CCCCCC"/>
              <w:bottom w:val="single" w:sz="4" w:space="0" w:color="CCCCCC"/>
              <w:right w:val="single" w:sz="4" w:space="0" w:color="CCCCCC"/>
            </w:tcBorders>
            <w:shd w:val="clear" w:color="auto" w:fill="CCCCCC"/>
            <w:tcMar>
              <w:top w:w="80" w:type="dxa"/>
              <w:left w:w="140" w:type="dxa"/>
              <w:bottom w:w="80" w:type="dxa"/>
              <w:right w:w="140" w:type="dxa"/>
            </w:tcMar>
          </w:tcPr>
          <w:p>
            <w:pPr>
              <w:spacing w:before="0" w:after="0"/>
              <w:jc w:val="right"/>
            </w:pPr>
            <w:r>
              <w:rPr>
                <w:b/>
                <w:bCs/>
                <w:color w:val="444444"/>
                <w:sz w:val="18"/>
                <w:szCs w:val="18"/>
              </w:rPr>
              <w:t>Lead Firm</w:t>
            </w:r>
          </w:p>
        </w:tc>
        <w:tc>
          <w:tcPr>
            <w:tcW w:w="648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Merge 4 Design LLC (M4D)</w:t>
            </w:r>
          </w:p>
        </w:tc>
      </w:tr>
      <w:tr>
        <w:trPr/>
        <w:tc>
          <w:tcPr>
            <w:tcW w:w="2880" w:type="dxa"/>
            <w:tcBorders>
              <w:top w:val="single" w:sz="4" w:space="0" w:color="CCCCCC"/>
              <w:left w:val="single" w:sz="4" w:space="0" w:color="CCCCCC"/>
              <w:bottom w:val="single" w:sz="4" w:space="0" w:color="CCCCCC"/>
              <w:right w:val="single" w:sz="4" w:space="0" w:color="CCCCCC"/>
            </w:tcBorders>
            <w:shd w:val="clear" w:color="auto" w:fill="CCCCCC"/>
            <w:tcMar>
              <w:top w:w="80" w:type="dxa"/>
              <w:left w:w="140" w:type="dxa"/>
              <w:bottom w:w="80" w:type="dxa"/>
              <w:right w:w="140" w:type="dxa"/>
            </w:tcMar>
          </w:tcPr>
          <w:p>
            <w:pPr>
              <w:spacing w:before="0" w:after="0"/>
              <w:jc w:val="right"/>
            </w:pPr>
            <w:r>
              <w:rPr>
                <w:b/>
                <w:bCs/>
                <w:color w:val="444444"/>
                <w:sz w:val="18"/>
                <w:szCs w:val="18"/>
              </w:rPr>
              <w:t>Predevelopment Intelligence</w:t>
            </w:r>
          </w:p>
        </w:tc>
        <w:tc>
          <w:tcPr>
            <w:tcW w:w="648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M4Di — Merge 4 Development Institute</w:t>
            </w:r>
          </w:p>
        </w:tc>
      </w:tr>
      <w:tr>
        <w:trPr/>
        <w:tc>
          <w:tcPr>
            <w:tcW w:w="2880" w:type="dxa"/>
            <w:tcBorders>
              <w:top w:val="single" w:sz="4" w:space="0" w:color="CCCCCC"/>
              <w:left w:val="single" w:sz="4" w:space="0" w:color="CCCCCC"/>
              <w:bottom w:val="single" w:sz="4" w:space="0" w:color="CCCCCC"/>
              <w:right w:val="single" w:sz="4" w:space="0" w:color="CCCCCC"/>
            </w:tcBorders>
            <w:shd w:val="clear" w:color="auto" w:fill="CCCCCC"/>
            <w:tcMar>
              <w:top w:w="80" w:type="dxa"/>
              <w:left w:w="140" w:type="dxa"/>
              <w:bottom w:w="80" w:type="dxa"/>
              <w:right w:w="140" w:type="dxa"/>
            </w:tcMar>
          </w:tcPr>
          <w:p>
            <w:pPr>
              <w:spacing w:before="0" w:after="0"/>
              <w:jc w:val="right"/>
            </w:pPr>
            <w:r>
              <w:rPr>
                <w:b/>
                <w:bCs/>
                <w:color w:val="444444"/>
                <w:sz w:val="18"/>
                <w:szCs w:val="18"/>
              </w:rPr>
              <w:t>AOR (if required)</w:t>
            </w:r>
          </w:p>
        </w:tc>
        <w:tc>
          <w:tcPr>
            <w:tcW w:w="648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David Ainsworth AIA / Aubyn Architecture LLC (subconsultant to M4D)</w:t>
            </w:r>
          </w:p>
        </w:tc>
      </w:tr>
      <w:tr>
        <w:trPr/>
        <w:tc>
          <w:tcPr>
            <w:tcW w:w="2880" w:type="dxa"/>
            <w:tcBorders>
              <w:top w:val="single" w:sz="4" w:space="0" w:color="CCCCCC"/>
              <w:left w:val="single" w:sz="4" w:space="0" w:color="CCCCCC"/>
              <w:bottom w:val="single" w:sz="4" w:space="0" w:color="CCCCCC"/>
              <w:right w:val="single" w:sz="4" w:space="0" w:color="CCCCCC"/>
            </w:tcBorders>
            <w:shd w:val="clear" w:color="auto" w:fill="CCCCCC"/>
            <w:tcMar>
              <w:top w:w="80" w:type="dxa"/>
              <w:left w:w="140" w:type="dxa"/>
              <w:bottom w:w="80" w:type="dxa"/>
              <w:right w:w="140" w:type="dxa"/>
            </w:tcMar>
          </w:tcPr>
          <w:p>
            <w:pPr>
              <w:spacing w:before="0" w:after="0"/>
              <w:jc w:val="right"/>
            </w:pPr>
            <w:r>
              <w:rPr>
                <w:b/>
                <w:bCs/>
                <w:color w:val="444444"/>
                <w:sz w:val="18"/>
                <w:szCs w:val="18"/>
              </w:rPr>
              <w:t>ALDi™ Gate</w:t>
            </w:r>
          </w:p>
        </w:tc>
        <w:tc>
          <w:tcPr>
            <w:tcW w:w="648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G0 — Rough Order of Magnitude / Predevelopment Intelligence</w:t>
            </w:r>
          </w:p>
        </w:tc>
      </w:tr>
      <w:tr>
        <w:trPr/>
        <w:tc>
          <w:tcPr>
            <w:tcW w:w="2880" w:type="dxa"/>
            <w:tcBorders>
              <w:top w:val="single" w:sz="4" w:space="0" w:color="CCCCCC"/>
              <w:left w:val="single" w:sz="4" w:space="0" w:color="CCCCCC"/>
              <w:bottom w:val="single" w:sz="4" w:space="0" w:color="CCCCCC"/>
              <w:right w:val="single" w:sz="4" w:space="0" w:color="CCCCCC"/>
            </w:tcBorders>
            <w:shd w:val="clear" w:color="auto" w:fill="CCCCCC"/>
            <w:tcMar>
              <w:top w:w="80" w:type="dxa"/>
              <w:left w:w="140" w:type="dxa"/>
              <w:bottom w:w="80" w:type="dxa"/>
              <w:right w:w="140" w:type="dxa"/>
            </w:tcMar>
          </w:tcPr>
          <w:p>
            <w:pPr>
              <w:spacing w:before="0" w:after="0"/>
              <w:jc w:val="right"/>
            </w:pPr>
            <w:r>
              <w:rPr>
                <w:b/>
                <w:bCs/>
                <w:color w:val="444444"/>
                <w:sz w:val="18"/>
                <w:szCs w:val="18"/>
              </w:rPr>
              <w:t>Zoning Jurisdiction</w:t>
            </w:r>
          </w:p>
        </w:tc>
        <w:tc>
          <w:tcPr>
            <w:tcW w:w="648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City of Wilmington Zoning Ordinance, Chapter 48 (R-3 District)</w:t>
            </w:r>
          </w:p>
        </w:tc>
      </w:tr>
      <w:tr>
        <w:trPr/>
        <w:tc>
          <w:tcPr>
            <w:tcW w:w="2880" w:type="dxa"/>
            <w:tcBorders>
              <w:top w:val="single" w:sz="4" w:space="0" w:color="CCCCCC"/>
              <w:left w:val="single" w:sz="4" w:space="0" w:color="CCCCCC"/>
              <w:bottom w:val="single" w:sz="4" w:space="0" w:color="CCCCCC"/>
              <w:right w:val="single" w:sz="4" w:space="0" w:color="CCCCCC"/>
            </w:tcBorders>
            <w:shd w:val="clear" w:color="auto" w:fill="CCCCCC"/>
            <w:tcMar>
              <w:top w:w="80" w:type="dxa"/>
              <w:left w:w="140" w:type="dxa"/>
              <w:bottom w:w="80" w:type="dxa"/>
              <w:right w:w="140" w:type="dxa"/>
            </w:tcMar>
          </w:tcPr>
          <w:p>
            <w:pPr>
              <w:spacing w:before="0" w:after="0"/>
              <w:jc w:val="right"/>
            </w:pPr>
            <w:r>
              <w:rPr>
                <w:b/>
                <w:bCs/>
                <w:color w:val="444444"/>
                <w:sz w:val="18"/>
                <w:szCs w:val="18"/>
              </w:rPr>
              <w:t>Document</w:t>
            </w:r>
          </w:p>
        </w:tc>
        <w:tc>
          <w:tcPr>
            <w:tcW w:w="648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 xml:space="preserve">M2_2026_005  ·  April 2026</w:t>
            </w:r>
          </w:p>
        </w:tc>
      </w:tr>
    </w:tbl>
    <w:p>
      <w:r>
        <w:br w:type="page"/>
      </w:r>
    </w:p>
    <w:p>
      <w:pPr>
        <w:pStyle w:val="Heading1"/>
        <w:shd w:val="clear" w:color="auto" w:fill="CCCCCC"/>
        <w:spacing w:after="0"/>
      </w:pPr>
      <w:r>
        <w:rPr>
          <w:b/>
          <w:bCs/>
          <w:color w:val="444444"/>
          <w:sz w:val="26"/>
          <w:szCs w:val="26"/>
        </w:rPr>
        <w:t xml:space="preserve">02.  Scope of Services — Track A: ALDi™ Gate 0 Predevelopment Intelligence</w:t>
      </w:r>
    </w:p>
    <w:p>
      <w:pPr>
        <w:spacing w:before="80" w:after="0"/>
      </w:pPr>
    </w:p>
    <w:p>
      <w:pPr>
        <w:spacing w:before="40" w:after="80"/>
      </w:pPr>
      <w:r>
        <w:rPr>
          <w:color w:val="1F2937"/>
          <w:sz w:val="20"/>
          <w:szCs w:val="20"/>
        </w:rPr>
        <w:t>Track A delivers the ALDi™ Gate 0 predevelopment intelligence package for 1212 Lobdel Avenue. It is authorized and delivered as a standalone engagement, independent of any subsequent design authorization. All work in this track is complete upon delivery of the items listed below. Track A is priced as a fixed fee.</w:t>
      </w:r>
    </w:p>
    <w:p>
      <w:pPr>
        <w:spacing w:before="60" w:after="0"/>
      </w:pPr>
    </w:p>
    <w:p>
      <w:pPr>
        <w:pStyle w:val="Heading2"/>
      </w:pPr>
      <w:r>
        <w:rPr>
          <w:b/>
          <w:bCs/>
          <w:color w:val="196B23"/>
          <w:sz w:val="22"/>
          <w:szCs w:val="22"/>
        </w:rPr>
        <w:t xml:space="preserve">2.1  Deliverables and Schedule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0"/>
        <w:gridCol w:w="3840"/>
        <w:gridCol w:w="2160"/>
        <w:gridCol w:w="2880"/>
      </w:tblGrid>
      <w:tr>
        <w:trPr/>
        <w:tc>
          <w:tcPr>
            <w:tcW w:w="9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140" w:type="dxa"/>
              <w:bottom w:w="80" w:type="dxa"/>
              <w:right w:w="140" w:type="dxa"/>
            </w:tcMar>
          </w:tcPr>
          <w:p>
            <w:pPr>
              <w:spacing w:before="0" w:after="0"/>
            </w:pPr>
            <w:r>
              <w:rPr>
                <w:b/>
                <w:bCs/>
                <w:color w:val="444444"/>
                <w:sz w:val="18"/>
                <w:szCs w:val="18"/>
              </w:rPr>
              <w:t>#</w:t>
            </w:r>
          </w:p>
        </w:tc>
        <w:tc>
          <w:tcPr>
            <w:tcW w:w="3840" w:type="dxa"/>
            <w:tcBorders>
              <w:top w:val="single" w:sz="4" w:space="0" w:color="CCCCCC"/>
              <w:left w:val="single" w:sz="4" w:space="0" w:color="CCCCCC"/>
              <w:bottom w:val="single" w:sz="4" w:space="0" w:color="CCCCCC"/>
              <w:right w:val="single" w:sz="4" w:space="0" w:color="CCCCCC"/>
            </w:tcBorders>
            <w:shd w:val="clear" w:color="auto" w:fill="F0F0F0"/>
            <w:tcMar>
              <w:top w:w="80" w:type="dxa"/>
              <w:left w:w="140" w:type="dxa"/>
              <w:bottom w:w="80" w:type="dxa"/>
              <w:right w:w="140" w:type="dxa"/>
            </w:tcMar>
          </w:tcPr>
          <w:p>
            <w:pPr>
              <w:spacing w:before="0" w:after="0"/>
            </w:pPr>
            <w:r>
              <w:rPr>
                <w:b/>
                <w:bCs/>
                <w:color w:val="444444"/>
                <w:sz w:val="18"/>
                <w:szCs w:val="18"/>
              </w:rPr>
              <w:t>Deliverable</w:t>
            </w:r>
          </w:p>
        </w:tc>
        <w:tc>
          <w:tcPr>
            <w:tcW w:w="2160" w:type="dxa"/>
            <w:tcBorders>
              <w:top w:val="single" w:sz="4" w:space="0" w:color="CCCCCC"/>
              <w:left w:val="single" w:sz="4" w:space="0" w:color="CCCCCC"/>
              <w:bottom w:val="single" w:sz="4" w:space="0" w:color="CCCCCC"/>
              <w:right w:val="single" w:sz="4" w:space="0" w:color="CCCCCC"/>
            </w:tcBorders>
            <w:shd w:val="clear" w:color="auto" w:fill="F0F0F0"/>
            <w:tcMar>
              <w:top w:w="80" w:type="dxa"/>
              <w:left w:w="140" w:type="dxa"/>
              <w:bottom w:w="80" w:type="dxa"/>
              <w:right w:w="140" w:type="dxa"/>
            </w:tcMar>
          </w:tcPr>
          <w:p>
            <w:pPr>
              <w:spacing w:before="0" w:after="0"/>
            </w:pPr>
            <w:r>
              <w:rPr>
                <w:b/>
                <w:bCs/>
                <w:color w:val="444444"/>
                <w:sz w:val="18"/>
                <w:szCs w:val="18"/>
              </w:rPr>
              <w:t>Format</w:t>
            </w:r>
          </w:p>
        </w:tc>
        <w:tc>
          <w:tcPr>
            <w:tcW w:w="2880" w:type="dxa"/>
            <w:tcBorders>
              <w:top w:val="single" w:sz="4" w:space="0" w:color="CCCCCC"/>
              <w:left w:val="single" w:sz="4" w:space="0" w:color="CCCCCC"/>
              <w:bottom w:val="single" w:sz="4" w:space="0" w:color="CCCCCC"/>
              <w:right w:val="single" w:sz="4" w:space="0" w:color="CCCCCC"/>
            </w:tcBorders>
            <w:shd w:val="clear" w:color="auto" w:fill="F0F0F0"/>
            <w:tcMar>
              <w:top w:w="80" w:type="dxa"/>
              <w:left w:w="140" w:type="dxa"/>
              <w:bottom w:w="80" w:type="dxa"/>
              <w:right w:w="140" w:type="dxa"/>
            </w:tcMar>
          </w:tcPr>
          <w:p>
            <w:pPr>
              <w:spacing w:before="0" w:after="0"/>
            </w:pPr>
            <w:r>
              <w:rPr>
                <w:b/>
                <w:bCs/>
                <w:color w:val="444444"/>
                <w:sz w:val="18"/>
                <w:szCs w:val="18"/>
              </w:rPr>
              <w:t>Estimated Delivery</w:t>
            </w:r>
          </w:p>
        </w:tc>
      </w:tr>
      <w:tr>
        <w:trPr/>
        <w:tc>
          <w:tcPr>
            <w:tcW w:w="90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A1</w:t>
            </w:r>
          </w:p>
        </w:tc>
        <w:tc>
          <w:tcPr>
            <w:tcW w:w="384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Site Assessment &amp; Zoning Research — parcel confirmation, R-3 district analysis, City of Wilmington Chapter 48 applicable standards, block face setback documentation</w:t>
            </w:r>
          </w:p>
        </w:tc>
        <w:tc>
          <w:tcPr>
            <w:tcW w:w="216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Memo / Data Table</w:t>
            </w:r>
          </w:p>
        </w:tc>
        <w:tc>
          <w:tcPr>
            <w:tcW w:w="288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Week 1</w:t>
            </w:r>
          </w:p>
        </w:tc>
      </w:tr>
      <w:tr>
        <w:trPr/>
        <w:tc>
          <w:tcPr>
            <w:tcW w:w="90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A2</w:t>
            </w:r>
          </w:p>
        </w:tc>
        <w:tc>
          <w:tcPr>
            <w:tcW w:w="384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Three Yield Scenarios — unit count, site layout, regulatory envelope confirmation for Scenarios I (36 units, 18 ft wide), II (40 units, 16 ft wide), and III (24 units, 20 ft wide)</w:t>
            </w:r>
          </w:p>
        </w:tc>
        <w:tc>
          <w:tcPr>
            <w:tcW w:w="216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Report + Site Plan Diagrams</w:t>
            </w:r>
          </w:p>
        </w:tc>
        <w:tc>
          <w:tcPr>
            <w:tcW w:w="288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Week 1</w:t>
            </w:r>
          </w:p>
        </w:tc>
      </w:tr>
      <w:tr>
        <w:trPr/>
        <w:tc>
          <w:tcPr>
            <w:tcW w:w="90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A3</w:t>
            </w:r>
          </w:p>
        </w:tc>
        <w:tc>
          <w:tcPr>
            <w:tcW w:w="384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Construction Type Matrix — three construction methods (A: CLT/SIP Hybrid, B: Off-Site Modular, C: Stick-Build) analyzed across all yield scenarios with ROM cost ranges, per-unit cost, and gap analysis</w:t>
            </w:r>
          </w:p>
        </w:tc>
        <w:tc>
          <w:tcPr>
            <w:tcW w:w="216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Matrix Report</w:t>
            </w:r>
          </w:p>
        </w:tc>
        <w:tc>
          <w:tcPr>
            <w:tcW w:w="288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Week 1–2</w:t>
            </w:r>
          </w:p>
        </w:tc>
      </w:tr>
      <w:tr>
        <w:trPr/>
        <w:tc>
          <w:tcPr>
            <w:tcW w:w="90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A4</w:t>
            </w:r>
          </w:p>
        </w:tc>
        <w:tc>
          <w:tcPr>
            <w:tcW w:w="384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Sustainability Add-Alternate Analysis — geothermal HVAC (shared bore field), community solar PV, and rainwater harvesting sized for 36–40 unit scale; PACE financing applicability noted</w:t>
            </w:r>
          </w:p>
        </w:tc>
        <w:tc>
          <w:tcPr>
            <w:tcW w:w="216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Analysis Memo</w:t>
            </w:r>
          </w:p>
        </w:tc>
        <w:tc>
          <w:tcPr>
            <w:tcW w:w="288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Week 2</w:t>
            </w:r>
          </w:p>
        </w:tc>
      </w:tr>
      <w:tr>
        <w:trPr/>
        <w:tc>
          <w:tcPr>
            <w:tcW w:w="90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A5</w:t>
            </w:r>
          </w:p>
        </w:tc>
        <w:tc>
          <w:tcPr>
            <w:tcW w:w="384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CBai / Blender Site Yield Study — 3D massing studies for all yield scenarios; solar access study; drive aisle and amenity zone layout; photorealistic perspectives (preliminary)</w:t>
            </w:r>
          </w:p>
        </w:tc>
        <w:tc>
          <w:tcPr>
            <w:tcW w:w="216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3D Visualizations + Site Plan</w:t>
            </w:r>
          </w:p>
        </w:tc>
        <w:tc>
          <w:tcPr>
            <w:tcW w:w="288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Week 2–3</w:t>
            </w:r>
          </w:p>
        </w:tc>
      </w:tr>
      <w:tr>
        <w:trPr/>
        <w:tc>
          <w:tcPr>
            <w:tcW w:w="90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A6</w:t>
            </w:r>
          </w:p>
        </w:tc>
        <w:tc>
          <w:tcPr>
            <w:tcW w:w="384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WHA Presentation Package — all ROM exhibits, scenario comparison matrix, sustainability options, and subsidy gap analysis compiled into a WHA-ready deck (PPTX + PDF)</w:t>
            </w:r>
          </w:p>
        </w:tc>
        <w:tc>
          <w:tcPr>
            <w:tcW w:w="216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Presentation Deck</w:t>
            </w:r>
          </w:p>
        </w:tc>
        <w:tc>
          <w:tcPr>
            <w:tcW w:w="288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Week 3–4</w:t>
            </w:r>
          </w:p>
        </w:tc>
      </w:tr>
      <w:tr>
        <w:trPr/>
        <w:tc>
          <w:tcPr>
            <w:tcW w:w="90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A7</w:t>
            </w:r>
          </w:p>
        </w:tc>
        <w:tc>
          <w:tcPr>
            <w:tcW w:w="384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Subsidy Gap &amp; Grant Program Memo — Delaware Catalyst Fund, HOME, and DSHA program fit analysis; subsidy stack structure for Scenario I/B (recommended)</w:t>
            </w:r>
          </w:p>
        </w:tc>
        <w:tc>
          <w:tcPr>
            <w:tcW w:w="216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Memo</w:t>
            </w:r>
          </w:p>
        </w:tc>
        <w:tc>
          <w:tcPr>
            <w:tcW w:w="288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Week 3</w:t>
            </w:r>
          </w:p>
        </w:tc>
      </w:tr>
      <w:tr>
        <w:trPr/>
        <w:tc>
          <w:tcPr>
            <w:tcW w:w="90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A8</w:t>
            </w:r>
          </w:p>
        </w:tc>
        <w:tc>
          <w:tcPr>
            <w:tcW w:w="384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ALDi™ G0 Lock + M4Di OI Tool Setup — ROM values reconciled, Gate 0 locked in M4Di system, ALDDB entry initiated</w:t>
            </w:r>
          </w:p>
        </w:tc>
        <w:tc>
          <w:tcPr>
            <w:tcW w:w="216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Internal / Deliverable Summary</w:t>
            </w:r>
          </w:p>
        </w:tc>
        <w:tc>
          <w:tcPr>
            <w:tcW w:w="288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Week 4</w:t>
            </w:r>
          </w:p>
        </w:tc>
      </w:tr>
    </w:tbl>
    <w:p>
      <w:pPr>
        <w:spacing w:before="80" w:after="0"/>
      </w:pPr>
    </w:p>
    <w:p>
      <w:pPr>
        <w:spacing w:before="40" w:after="80"/>
      </w:pPr>
      <w:r>
        <w:rPr>
          <w:b/>
          <w:bCs/>
          <w:color w:val="444444"/>
          <w:sz w:val="19"/>
          <w:szCs w:val="19"/>
        </w:rPr>
        <w:t xml:space="preserve">Note:  </w:t>
      </w:r>
      <w:r>
        <w:rPr>
          <w:i/>
          <w:iCs/>
          <w:color w:val="555555"/>
          <w:sz w:val="19"/>
          <w:szCs w:val="19"/>
        </w:rPr>
        <w:t>Track A deliverables reflect the full ALDi™ G0 predevelopment intelligence scope for this site. The timeline above reflects a streamlined delivery sequence consistent with WHA’s project schedule needs. All items will be delivered within four (4) weeks of written authorization unless site data gaps (Phase I ESA, geotechnical results) extend individual items, in which case M4D will notify WHA in advance.</w:t>
      </w:r>
    </w:p>
    <w:p>
      <w:r>
        <w:br w:type="page"/>
      </w:r>
    </w:p>
    <w:p>
      <w:pPr>
        <w:pStyle w:val="Heading1"/>
        <w:shd w:val="clear" w:color="auto" w:fill="CCCCCC"/>
        <w:spacing w:after="0"/>
      </w:pPr>
      <w:r>
        <w:rPr>
          <w:b/>
          <w:bCs/>
          <w:color w:val="444444"/>
          <w:sz w:val="26"/>
          <w:szCs w:val="26"/>
        </w:rPr>
        <w:t xml:space="preserve">03.  Recommended Owner-Directed Authorizations</w:t>
      </w:r>
    </w:p>
    <w:p>
      <w:pPr>
        <w:spacing w:before="80" w:after="0"/>
      </w:pPr>
    </w:p>
    <w:p>
      <w:pPr>
        <w:spacing w:before="40" w:after="80"/>
      </w:pPr>
      <w:r>
        <w:rPr>
          <w:color w:val="1F2937"/>
          <w:sz w:val="20"/>
          <w:szCs w:val="20"/>
        </w:rPr>
        <w:t>In the course of Track A analysis, M4D has identified two additional due diligence items that are necessary inputs for Gate 0 completion but are outside the professional service fee. M4D recommends that WHA authorize these directly with appropriate vendors, and that the resulting reports be provided to M4D for incorporation into the ROM and gap analysis.</w:t>
      </w:r>
    </w:p>
    <w:p>
      <w:pPr>
        <w:spacing w:before="60" w:after="0"/>
      </w:pPr>
    </w:p>
    <w:p>
      <w:pPr>
        <w:pStyle w:val="Heading2"/>
      </w:pPr>
      <w:r>
        <w:rPr>
          <w:b/>
          <w:bCs/>
          <w:color w:val="196B23"/>
          <w:sz w:val="22"/>
          <w:szCs w:val="22"/>
        </w:rPr>
        <w:t xml:space="preserve">3.1  Geotechnical Investigation (Soil Borings)</w:t>
      </w:r>
    </w:p>
    <w:p>
      <w:pPr>
        <w:spacing w:before="40" w:after="80"/>
      </w:pPr>
      <w:r>
        <w:rPr>
          <w:b/>
          <w:bCs/>
          <w:color w:val="444444"/>
          <w:sz w:val="19"/>
          <w:szCs w:val="19"/>
        </w:rPr>
        <w:t xml:space="preserve">Status:  </w:t>
      </w:r>
      <w:r>
        <w:rPr>
          <w:color w:val="1F2937"/>
          <w:sz w:val="19"/>
          <w:szCs w:val="19"/>
        </w:rPr>
        <w:t>Not yet ordered. M4D strongly recommends authorization concurrent with this proposal.</w:t>
      </w:r>
    </w:p>
    <w:p>
      <w:pPr>
        <w:spacing w:before="40" w:after="80"/>
      </w:pPr>
      <w:r>
        <w:rPr>
          <w:color w:val="1F2937"/>
          <w:sz w:val="20"/>
          <w:szCs w:val="20"/>
        </w:rPr>
        <w:t>Soil bearing capacity is a critical input for foundation design across all construction types — and is especially essential for the recommended off-site modular option (Type B), which requires precise bearing confirmation at module set points. Without geotechnical data, the modular foundation ROM carries elevated uncertainty. M4D recommends that WHA authorize a licensed geotechnical engineer to perform a minimum of four (4) test borings distributed across the 1.39-acre site. Results should be provided to M4D upon receipt for incorporation into the final Gate 0 ROM lock.</w:t>
      </w:r>
    </w:p>
    <w:p>
      <w:pPr>
        <w:spacing w:before="80" w:after="0"/>
      </w:pPr>
    </w:p>
    <w:p>
      <w:pPr>
        <w:pStyle w:val="Heading2"/>
      </w:pPr>
      <w:r>
        <w:rPr>
          <w:b/>
          <w:bCs/>
          <w:color w:val="196B23"/>
          <w:sz w:val="22"/>
          <w:szCs w:val="22"/>
        </w:rPr>
        <w:t xml:space="preserve">3.2  Geothermal Feasibility and Alt-Energy Exploration</w:t>
      </w:r>
    </w:p>
    <w:p>
      <w:pPr>
        <w:spacing w:before="40" w:after="80"/>
      </w:pPr>
      <w:r>
        <w:rPr>
          <w:b/>
          <w:bCs/>
          <w:color w:val="444444"/>
          <w:sz w:val="19"/>
          <w:szCs w:val="19"/>
        </w:rPr>
        <w:t xml:space="preserve">Status:  </w:t>
      </w:r>
      <w:r>
        <w:rPr>
          <w:color w:val="1F2937"/>
          <w:sz w:val="19"/>
          <w:szCs w:val="19"/>
        </w:rPr>
        <w:t>Included in Track A at a conceptual level (Item A4). M4D recommends authorizing a qualified MEP engineer or geothermal specialist for a targeted feasibility review.</w:t>
      </w:r>
    </w:p>
    <w:p>
      <w:pPr>
        <w:spacing w:before="40" w:after="80"/>
      </w:pPr>
      <w:r>
        <w:rPr>
          <w:color w:val="1F2937"/>
          <w:sz w:val="20"/>
          <w:szCs w:val="20"/>
        </w:rPr>
        <w:t>At 36–40 units, a shared geothermal bore field becomes economically viable on a per-unit basis and is a meaningful differentiator for WHA’s energy cost and long-term operating expense profile. The ROM analysis includes a budgetary allowance for this system; however, a formal feasibility report (geo exchange capacity, bore count, loop field sizing) is required to confirm viability before committing design resources. A community solar PV array and shared rainwater harvesting system are included as alternates in the same analysis scope. M4D is prepared to coordinate the engagement of a qualified consultant for this scope on WHA’s behalf, or WHA may engage directly.</w:t>
      </w:r>
    </w:p>
    <w:p>
      <w:pPr>
        <w:spacing w:before="60" w:after="0"/>
      </w:pPr>
    </w:p>
    <w:p>
      <w:pPr>
        <w:spacing w:before="40" w:after="80"/>
      </w:pPr>
      <w:r>
        <w:rPr>
          <w:i/>
          <w:iCs/>
          <w:color w:val="555555"/>
          <w:sz w:val="20"/>
          <w:szCs w:val="20"/>
        </w:rPr>
        <w:t>M4D will incorporate the results of both items above into the final ALDi™ G0 ROM lock and WHA presentation package at no additional fee, provided reports are received prior to Week 3 of the Track A schedule.</w:t>
      </w:r>
    </w:p>
    <w:p>
      <w:r>
        <w:br w:type="page"/>
      </w:r>
    </w:p>
    <w:p>
      <w:pPr>
        <w:pStyle w:val="Heading1"/>
        <w:shd w:val="clear" w:color="auto" w:fill="CCCCCC"/>
        <w:spacing w:after="0"/>
      </w:pPr>
      <w:r>
        <w:rPr>
          <w:b/>
          <w:bCs/>
          <w:color w:val="444444"/>
          <w:sz w:val="26"/>
          <w:szCs w:val="26"/>
        </w:rPr>
        <w:t xml:space="preserve">04.  Fee Summary — Track A (Fixed Fee)</w:t>
      </w:r>
    </w:p>
    <w:p>
      <w:pPr>
        <w:spacing w:before="80" w:after="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660"/>
        <w:gridCol w:w="1440"/>
        <w:gridCol w:w="1440"/>
        <w:gridCol w:w="1920"/>
      </w:tblGrid>
      <w:tr>
        <w:trPr/>
        <w:tc>
          <w:tcPr>
            <w:tcW w:w="9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140" w:type="dxa"/>
              <w:bottom w:w="80" w:type="dxa"/>
              <w:right w:w="140" w:type="dxa"/>
            </w:tcMar>
          </w:tcPr>
          <w:p>
            <w:pPr>
              <w:spacing w:before="0" w:after="0"/>
            </w:pPr>
            <w:r>
              <w:rPr>
                <w:b/>
                <w:bCs/>
                <w:color w:val="444444"/>
                <w:sz w:val="18"/>
                <w:szCs w:val="18"/>
              </w:rPr>
              <w:t>Item</w:t>
            </w:r>
          </w:p>
        </w:tc>
        <w:tc>
          <w:tcPr>
            <w:tcW w:w="3660" w:type="dxa"/>
            <w:tcBorders>
              <w:top w:val="single" w:sz="4" w:space="0" w:color="CCCCCC"/>
              <w:left w:val="single" w:sz="4" w:space="0" w:color="CCCCCC"/>
              <w:bottom w:val="single" w:sz="4" w:space="0" w:color="CCCCCC"/>
              <w:right w:val="single" w:sz="4" w:space="0" w:color="CCCCCC"/>
            </w:tcBorders>
            <w:shd w:val="clear" w:color="auto" w:fill="F0F0F0"/>
            <w:tcMar>
              <w:top w:w="80" w:type="dxa"/>
              <w:left w:w="140" w:type="dxa"/>
              <w:bottom w:w="80" w:type="dxa"/>
              <w:right w:w="140" w:type="dxa"/>
            </w:tcMar>
          </w:tcPr>
          <w:p>
            <w:pPr>
              <w:spacing w:before="0" w:after="0"/>
            </w:pPr>
            <w:r>
              <w:rPr>
                <w:b/>
                <w:bCs/>
                <w:color w:val="444444"/>
                <w:sz w:val="18"/>
                <w:szCs w:val="18"/>
              </w:rPr>
              <w:t>Service Description</w:t>
            </w:r>
          </w:p>
        </w:tc>
        <w:tc>
          <w:tcPr>
            <w:tcW w:w="1440" w:type="dxa"/>
            <w:tcBorders>
              <w:top w:val="single" w:sz="4" w:space="0" w:color="CCCCCC"/>
              <w:left w:val="single" w:sz="4" w:space="0" w:color="CCCCCC"/>
              <w:bottom w:val="single" w:sz="4" w:space="0" w:color="CCCCCC"/>
              <w:right w:val="single" w:sz="4" w:space="0" w:color="CCCCCC"/>
            </w:tcBorders>
            <w:shd w:val="clear" w:color="auto" w:fill="F0F0F0"/>
            <w:tcMar>
              <w:top w:w="80" w:type="dxa"/>
              <w:left w:w="140" w:type="dxa"/>
              <w:bottom w:w="80" w:type="dxa"/>
              <w:right w:w="140" w:type="dxa"/>
            </w:tcMar>
          </w:tcPr>
          <w:p>
            <w:pPr>
              <w:spacing w:before="0" w:after="0"/>
            </w:pPr>
            <w:r>
              <w:rPr>
                <w:b/>
                <w:bCs/>
                <w:color w:val="444444"/>
                <w:sz w:val="18"/>
                <w:szCs w:val="18"/>
              </w:rPr>
              <w:t>Hours (Est.)</w:t>
            </w:r>
          </w:p>
        </w:tc>
        <w:tc>
          <w:tcPr>
            <w:tcW w:w="1440" w:type="dxa"/>
            <w:tcBorders>
              <w:top w:val="single" w:sz="4" w:space="0" w:color="CCCCCC"/>
              <w:left w:val="single" w:sz="4" w:space="0" w:color="CCCCCC"/>
              <w:bottom w:val="single" w:sz="4" w:space="0" w:color="CCCCCC"/>
              <w:right w:val="single" w:sz="4" w:space="0" w:color="CCCCCC"/>
            </w:tcBorders>
            <w:shd w:val="clear" w:color="auto" w:fill="F0F0F0"/>
            <w:tcMar>
              <w:top w:w="80" w:type="dxa"/>
              <w:left w:w="140" w:type="dxa"/>
              <w:bottom w:w="80" w:type="dxa"/>
              <w:right w:w="140" w:type="dxa"/>
            </w:tcMar>
          </w:tcPr>
          <w:p>
            <w:pPr>
              <w:spacing w:before="0" w:after="0"/>
            </w:pPr>
            <w:r>
              <w:rPr>
                <w:b/>
                <w:bCs/>
                <w:color w:val="444444"/>
                <w:sz w:val="18"/>
                <w:szCs w:val="18"/>
              </w:rPr>
              <w:t>Rate</w:t>
            </w:r>
          </w:p>
        </w:tc>
        <w:tc>
          <w:tcPr>
            <w:tcW w:w="1920" w:type="dxa"/>
            <w:tcBorders>
              <w:top w:val="single" w:sz="4" w:space="0" w:color="CCCCCC"/>
              <w:left w:val="single" w:sz="4" w:space="0" w:color="CCCCCC"/>
              <w:bottom w:val="single" w:sz="4" w:space="0" w:color="CCCCCC"/>
              <w:right w:val="single" w:sz="4" w:space="0" w:color="CCCCCC"/>
            </w:tcBorders>
            <w:shd w:val="clear" w:color="auto" w:fill="F0F0F0"/>
            <w:tcMar>
              <w:top w:w="80" w:type="dxa"/>
              <w:left w:w="140" w:type="dxa"/>
              <w:bottom w:w="80" w:type="dxa"/>
              <w:right w:w="140" w:type="dxa"/>
            </w:tcMar>
          </w:tcPr>
          <w:p>
            <w:pPr>
              <w:spacing w:before="0" w:after="0"/>
            </w:pPr>
            <w:r>
              <w:rPr>
                <w:b/>
                <w:bCs/>
                <w:color w:val="444444"/>
                <w:sz w:val="18"/>
                <w:szCs w:val="18"/>
              </w:rPr>
              <w:t>Fee</w:t>
            </w:r>
          </w:p>
        </w:tc>
      </w:tr>
      <w:tr>
        <w:trPr/>
        <w:tc>
          <w:tcPr>
            <w:tcW w:w="90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A1</w:t>
            </w:r>
          </w:p>
        </w:tc>
        <w:tc>
          <w:tcPr>
            <w:tcW w:w="366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Site Assessment &amp; Zoning Research</w:t>
            </w:r>
          </w:p>
        </w:tc>
        <w:tc>
          <w:tcPr>
            <w:tcW w:w="144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18</w:t>
            </w:r>
          </w:p>
        </w:tc>
        <w:tc>
          <w:tcPr>
            <w:tcW w:w="144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$185/hr</w:t>
            </w:r>
          </w:p>
        </w:tc>
        <w:tc>
          <w:tcPr>
            <w:tcW w:w="192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$3,330</w:t>
            </w:r>
          </w:p>
        </w:tc>
      </w:tr>
      <w:tr>
        <w:trPr/>
        <w:tc>
          <w:tcPr>
            <w:tcW w:w="90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A2</w:t>
            </w:r>
          </w:p>
        </w:tc>
        <w:tc>
          <w:tcPr>
            <w:tcW w:w="366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Three Yield Scenarios + Site Layout</w:t>
            </w:r>
          </w:p>
        </w:tc>
        <w:tc>
          <w:tcPr>
            <w:tcW w:w="144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24</w:t>
            </w:r>
          </w:p>
        </w:tc>
        <w:tc>
          <w:tcPr>
            <w:tcW w:w="144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$185/hr</w:t>
            </w:r>
          </w:p>
        </w:tc>
        <w:tc>
          <w:tcPr>
            <w:tcW w:w="192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$4,440</w:t>
            </w:r>
          </w:p>
        </w:tc>
      </w:tr>
      <w:tr>
        <w:trPr/>
        <w:tc>
          <w:tcPr>
            <w:tcW w:w="90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A3</w:t>
            </w:r>
          </w:p>
        </w:tc>
        <w:tc>
          <w:tcPr>
            <w:tcW w:w="366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Construction Type Matrix (3 types × 3 scenarios)</w:t>
            </w:r>
          </w:p>
        </w:tc>
        <w:tc>
          <w:tcPr>
            <w:tcW w:w="144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6</w:t>
            </w:r>
          </w:p>
        </w:tc>
        <w:tc>
          <w:tcPr>
            <w:tcW w:w="144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$185/hr</w:t>
            </w:r>
          </w:p>
        </w:tc>
        <w:tc>
          <w:tcPr>
            <w:tcW w:w="192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$1,110</w:t>
            </w:r>
          </w:p>
        </w:tc>
      </w:tr>
      <w:tr>
        <w:trPr/>
        <w:tc>
          <w:tcPr>
            <w:tcW w:w="90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A4</w:t>
            </w:r>
          </w:p>
        </w:tc>
        <w:tc>
          <w:tcPr>
            <w:tcW w:w="366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Sustainability Add-Alternate Analysis</w:t>
            </w:r>
          </w:p>
        </w:tc>
        <w:tc>
          <w:tcPr>
            <w:tcW w:w="144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6</w:t>
            </w:r>
          </w:p>
        </w:tc>
        <w:tc>
          <w:tcPr>
            <w:tcW w:w="144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$185/hr</w:t>
            </w:r>
          </w:p>
        </w:tc>
        <w:tc>
          <w:tcPr>
            <w:tcW w:w="192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$1,110</w:t>
            </w:r>
          </w:p>
        </w:tc>
      </w:tr>
      <w:tr>
        <w:trPr/>
        <w:tc>
          <w:tcPr>
            <w:tcW w:w="90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A5</w:t>
            </w:r>
          </w:p>
        </w:tc>
        <w:tc>
          <w:tcPr>
            <w:tcW w:w="366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CBai / Blender Site Yield Study + Visualizations</w:t>
            </w:r>
          </w:p>
        </w:tc>
        <w:tc>
          <w:tcPr>
            <w:tcW w:w="144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12</w:t>
            </w:r>
          </w:p>
        </w:tc>
        <w:tc>
          <w:tcPr>
            <w:tcW w:w="144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$165/hr</w:t>
            </w:r>
          </w:p>
        </w:tc>
        <w:tc>
          <w:tcPr>
            <w:tcW w:w="192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$1,980</w:t>
            </w:r>
          </w:p>
        </w:tc>
      </w:tr>
      <w:tr>
        <w:trPr/>
        <w:tc>
          <w:tcPr>
            <w:tcW w:w="90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A6</w:t>
            </w:r>
          </w:p>
        </w:tc>
        <w:tc>
          <w:tcPr>
            <w:tcW w:w="366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WHA Presentation Package (deck + exhibits)</w:t>
            </w:r>
          </w:p>
        </w:tc>
        <w:tc>
          <w:tcPr>
            <w:tcW w:w="144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10</w:t>
            </w:r>
          </w:p>
        </w:tc>
        <w:tc>
          <w:tcPr>
            <w:tcW w:w="144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$165/hr</w:t>
            </w:r>
          </w:p>
        </w:tc>
        <w:tc>
          <w:tcPr>
            <w:tcW w:w="192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$1,650</w:t>
            </w:r>
          </w:p>
        </w:tc>
      </w:tr>
      <w:tr>
        <w:trPr/>
        <w:tc>
          <w:tcPr>
            <w:tcW w:w="90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A7</w:t>
            </w:r>
          </w:p>
        </w:tc>
        <w:tc>
          <w:tcPr>
            <w:tcW w:w="366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Subsidy Gap &amp; Grant Program Memo</w:t>
            </w:r>
          </w:p>
        </w:tc>
        <w:tc>
          <w:tcPr>
            <w:tcW w:w="144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8</w:t>
            </w:r>
          </w:p>
        </w:tc>
        <w:tc>
          <w:tcPr>
            <w:tcW w:w="144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$165/hr</w:t>
            </w:r>
          </w:p>
        </w:tc>
        <w:tc>
          <w:tcPr>
            <w:tcW w:w="192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$1,320</w:t>
            </w:r>
          </w:p>
        </w:tc>
      </w:tr>
      <w:tr>
        <w:trPr/>
        <w:tc>
          <w:tcPr>
            <w:tcW w:w="90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A8</w:t>
            </w:r>
          </w:p>
        </w:tc>
        <w:tc>
          <w:tcPr>
            <w:tcW w:w="366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ALDi™ G0 Lock + M4Di OI Tool Setup</w:t>
            </w:r>
          </w:p>
        </w:tc>
        <w:tc>
          <w:tcPr>
            <w:tcW w:w="144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5</w:t>
            </w:r>
          </w:p>
        </w:tc>
        <w:tc>
          <w:tcPr>
            <w:tcW w:w="144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$185/hr</w:t>
            </w:r>
          </w:p>
        </w:tc>
        <w:tc>
          <w:tcPr>
            <w:tcW w:w="192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$925</w:t>
            </w:r>
          </w:p>
        </w:tc>
      </w:tr>
      <w:tr>
        <w:trPr/>
        <w:tc>
          <w:tcPr>
            <w:tcW w:w="9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140" w:type="dxa"/>
              <w:bottom w:w="80" w:type="dxa"/>
              <w:right w:w="140" w:type="dxa"/>
            </w:tcMar>
          </w:tcPr>
          <w:p>
            <w:pPr>
              <w:spacing w:before="0" w:after="0"/>
            </w:pPr>
            <w:r>
              <w:rPr>
                <w:b/>
                <w:bCs/>
                <w:color w:val="196B23"/>
                <w:sz w:val="19"/>
                <w:szCs w:val="19"/>
              </w:rPr>
              <w:t/>
            </w:r>
          </w:p>
        </w:tc>
        <w:tc>
          <w:tcPr>
            <w:tcW w:w="3660" w:type="dxa"/>
            <w:tcBorders>
              <w:top w:val="single" w:sz="4" w:space="0" w:color="CCCCCC"/>
              <w:left w:val="single" w:sz="4" w:space="0" w:color="CCCCCC"/>
              <w:bottom w:val="single" w:sz="4" w:space="0" w:color="CCCCCC"/>
              <w:right w:val="single" w:sz="4" w:space="0" w:color="CCCCCC"/>
            </w:tcBorders>
            <w:shd w:val="clear" w:color="auto" w:fill="F0F0F0"/>
            <w:tcMar>
              <w:top w:w="80" w:type="dxa"/>
              <w:left w:w="140" w:type="dxa"/>
              <w:bottom w:w="80" w:type="dxa"/>
              <w:right w:w="140" w:type="dxa"/>
            </w:tcMar>
          </w:tcPr>
          <w:p>
            <w:pPr>
              <w:spacing w:before="0" w:after="0"/>
            </w:pPr>
            <w:r>
              <w:rPr>
                <w:b/>
                <w:bCs/>
                <w:color w:val="196B23"/>
                <w:sz w:val="19"/>
                <w:szCs w:val="19"/>
              </w:rPr>
              <w:t>TRACK A TOTAL — FIXED FEE</w:t>
            </w:r>
          </w:p>
        </w:tc>
        <w:tc>
          <w:tcPr>
            <w:tcW w:w="1440" w:type="dxa"/>
            <w:tcBorders>
              <w:top w:val="single" w:sz="4" w:space="0" w:color="CCCCCC"/>
              <w:left w:val="single" w:sz="4" w:space="0" w:color="CCCCCC"/>
              <w:bottom w:val="single" w:sz="4" w:space="0" w:color="CCCCCC"/>
              <w:right w:val="single" w:sz="4" w:space="0" w:color="CCCCCC"/>
            </w:tcBorders>
            <w:shd w:val="clear" w:color="auto" w:fill="F0F0F0"/>
            <w:tcMar>
              <w:top w:w="80" w:type="dxa"/>
              <w:left w:w="140" w:type="dxa"/>
              <w:bottom w:w="80" w:type="dxa"/>
              <w:right w:w="140" w:type="dxa"/>
            </w:tcMar>
          </w:tcPr>
          <w:p>
            <w:pPr>
              <w:spacing w:before="0" w:after="0"/>
            </w:pPr>
            <w:r>
              <w:rPr>
                <w:b/>
                <w:bCs/>
                <w:color w:val="196B23"/>
                <w:sz w:val="19"/>
                <w:szCs w:val="19"/>
              </w:rPr>
              <w:t>89 hrs</w:t>
            </w:r>
          </w:p>
        </w:tc>
        <w:tc>
          <w:tcPr>
            <w:tcW w:w="1440" w:type="dxa"/>
            <w:tcBorders>
              <w:top w:val="single" w:sz="4" w:space="0" w:color="CCCCCC"/>
              <w:left w:val="single" w:sz="4" w:space="0" w:color="CCCCCC"/>
              <w:bottom w:val="single" w:sz="4" w:space="0" w:color="CCCCCC"/>
              <w:right w:val="single" w:sz="4" w:space="0" w:color="CCCCCC"/>
            </w:tcBorders>
            <w:shd w:val="clear" w:color="auto" w:fill="F0F0F0"/>
            <w:tcMar>
              <w:top w:w="80" w:type="dxa"/>
              <w:left w:w="140" w:type="dxa"/>
              <w:bottom w:w="80" w:type="dxa"/>
              <w:right w:w="140" w:type="dxa"/>
            </w:tcMar>
          </w:tcPr>
          <w:p>
            <w:pPr>
              <w:spacing w:before="0" w:after="0"/>
            </w:pPr>
            <w:r>
              <w:rPr>
                <w:b/>
                <w:bCs/>
                <w:color w:val="196B23"/>
                <w:sz w:val="19"/>
                <w:szCs w:val="19"/>
              </w:rPr>
              <w:t>—</w:t>
            </w:r>
          </w:p>
        </w:tc>
        <w:tc>
          <w:tcPr>
            <w:tcW w:w="1920" w:type="dxa"/>
            <w:tcBorders>
              <w:top w:val="single" w:sz="4" w:space="0" w:color="CCCCCC"/>
              <w:left w:val="single" w:sz="4" w:space="0" w:color="CCCCCC"/>
              <w:bottom w:val="single" w:sz="4" w:space="0" w:color="CCCCCC"/>
              <w:right w:val="single" w:sz="4" w:space="0" w:color="CCCCCC"/>
            </w:tcBorders>
            <w:shd w:val="clear" w:color="auto" w:fill="F0F0F0"/>
            <w:tcMar>
              <w:top w:w="80" w:type="dxa"/>
              <w:left w:w="140" w:type="dxa"/>
              <w:bottom w:w="80" w:type="dxa"/>
              <w:right w:w="140" w:type="dxa"/>
            </w:tcMar>
          </w:tcPr>
          <w:p>
            <w:pPr>
              <w:spacing w:before="0" w:after="0"/>
            </w:pPr>
            <w:r>
              <w:rPr>
                <w:b/>
                <w:bCs/>
                <w:color w:val="196B23"/>
                <w:sz w:val="19"/>
                <w:szCs w:val="19"/>
              </w:rPr>
              <w:t>$15,865</w:t>
            </w:r>
          </w:p>
        </w:tc>
      </w:tr>
    </w:tbl>
    <w:p>
      <w:pPr>
        <w:spacing w:before="100" w:after="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trPr/>
        <w:tc>
          <w:tcPr>
            <w:tcW w:w="9360" w:type="dxa"/>
            <w:tcBorders>
              <w:top w:val="single" w:sz="4" w:space="0" w:color="CCCCCC"/>
              <w:left w:val="single" w:sz="4" w:space="0" w:color="CCCCCC"/>
              <w:bottom w:val="single" w:sz="4" w:space="0" w:color="CCCCCC"/>
              <w:right w:val="single" w:sz="4" w:space="0" w:color="CCCCCC"/>
            </w:tcBorders>
            <w:shd w:val="clear" w:color="auto" w:fill="F0F0F0"/>
            <w:tcMar>
              <w:top w:w="80" w:type="dxa"/>
              <w:left w:w="140" w:type="dxa"/>
              <w:bottom w:w="80" w:type="dxa"/>
              <w:right w:w="140" w:type="dxa"/>
            </w:tcMar>
          </w:tcPr>
          <w:p>
            <w:pPr>
              <w:spacing w:before="0" w:after="60"/>
            </w:pPr>
            <w:r>
              <w:rPr>
                <w:b/>
                <w:bCs/>
                <w:color w:val="444444"/>
                <w:sz w:val="19"/>
                <w:szCs w:val="19"/>
              </w:rPr>
              <w:t>AOR Subconsultant Fee — Aubyn Architecture LLC</w:t>
            </w:r>
          </w:p>
          <w:p>
            <w:pPr>
              <w:spacing w:before="0" w:after="0"/>
            </w:pPr>
            <w:r>
              <w:rPr>
                <w:color w:val="555555"/>
                <w:sz w:val="19"/>
                <w:szCs w:val="19"/>
              </w:rPr>
              <w:t>Aubyn Architecture LLC serves as Architect of Record subconsultant to M4D on all Delaware projects requiring a stamped permit set. The Aubyn AOR subconsultant fee is calculated at 10% of the applicable M4D architectural fee for any Track B engagement on this project. This fee is not included in the Track A fixed fee above and will be reflected in the Track B proposal once WHA authorizes design services. The governing instrument is the M4D / Aubyn Architecture Master C401 Subconsultant Agreement (AIA C401-2017 basis). Aubyn Architecture LLC — 215 N. Market St., Suite 317, Wilmington, DE 19801.</w:t>
            </w:r>
          </w:p>
        </w:tc>
      </w:tr>
    </w:tbl>
    <w:p>
      <w:pPr>
        <w:spacing w:before="80" w:after="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trPr/>
        <w:tc>
          <w:tcPr>
            <w:tcW w:w="9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pPr>
              <w:spacing w:before="0" w:after="60"/>
            </w:pPr>
            <w:r>
              <w:rPr>
                <w:b/>
                <w:bCs/>
                <w:color w:val="444444"/>
                <w:sz w:val="18"/>
                <w:szCs w:val="18"/>
              </w:rPr>
              <w:t>Not Included in Track A:</w:t>
            </w:r>
          </w:p>
          <w:p>
            <w:pPr>
              <w:numPr>
                <w:ilvl w:val="0"/>
                <w:numId w:val="1"/>
              </w:numPr>
              <w:spacing w:before="40" w:after="40"/>
            </w:pPr>
            <w:r>
              <w:rPr>
                <w:color w:val="1F2937"/>
                <w:sz w:val="20"/>
                <w:szCs w:val="20"/>
              </w:rPr>
              <w:t>Phase I Environmental Site Assessment — WHA-directed engagement</w:t>
            </w:r>
          </w:p>
          <w:p>
            <w:pPr>
              <w:numPr>
                <w:ilvl w:val="0"/>
                <w:numId w:val="1"/>
              </w:numPr>
              <w:spacing w:before="40" w:after="40"/>
            </w:pPr>
            <w:r>
              <w:rPr>
                <w:color w:val="1F2937"/>
                <w:sz w:val="20"/>
                <w:szCs w:val="20"/>
              </w:rPr>
              <w:t>Geotechnical investigation / soil borings — WHA-directed engagement (see Section 03)</w:t>
            </w:r>
          </w:p>
          <w:p>
            <w:pPr>
              <w:numPr>
                <w:ilvl w:val="0"/>
                <w:numId w:val="1"/>
              </w:numPr>
              <w:spacing w:before="40" w:after="40"/>
            </w:pPr>
            <w:r>
              <w:rPr>
                <w:color w:val="1F2937"/>
                <w:sz w:val="20"/>
                <w:szCs w:val="20"/>
              </w:rPr>
              <w:t>Geothermal or alt-energy formal feasibility study — WHA-directed or M4D-coordinated (see Section 03)</w:t>
            </w:r>
          </w:p>
          <w:p>
            <w:pPr>
              <w:numPr>
                <w:ilvl w:val="0"/>
                <w:numId w:val="1"/>
              </w:numPr>
              <w:spacing w:before="40" w:after="40"/>
            </w:pPr>
            <w:r>
              <w:rPr>
                <w:color w:val="1F2937"/>
                <w:sz w:val="20"/>
                <w:szCs w:val="20"/>
              </w:rPr>
              <w:t>Civil, structural, or MEP engineering services — subconsultants to be engaged per Track B authorization</w:t>
            </w:r>
          </w:p>
          <w:p>
            <w:pPr>
              <w:numPr>
                <w:ilvl w:val="0"/>
                <w:numId w:val="1"/>
              </w:numPr>
              <w:spacing w:before="40" w:after="40"/>
            </w:pPr>
            <w:r>
              <w:rPr>
                <w:color w:val="1F2937"/>
                <w:sz w:val="20"/>
                <w:szCs w:val="20"/>
              </w:rPr>
              <w:t>Reimbursable expenses — printing, travel, plotting billed at cost; estimated at $500 for Track A scope</w:t>
            </w:r>
          </w:p>
        </w:tc>
      </w:tr>
    </w:tbl>
    <w:p>
      <w:r>
        <w:br w:type="page"/>
      </w:r>
    </w:p>
    <w:p>
      <w:pPr>
        <w:pStyle w:val="Heading1"/>
        <w:shd w:val="clear" w:color="auto" w:fill="CCCCCC"/>
        <w:spacing w:after="0"/>
      </w:pPr>
      <w:r>
        <w:rPr>
          <w:b/>
          <w:bCs/>
          <w:color w:val="444444"/>
          <w:sz w:val="26"/>
          <w:szCs w:val="26"/>
        </w:rPr>
        <w:t xml:space="preserve">05.  Track B — Architecture &amp; Engineering Services: Notice of Intent</w:t>
      </w:r>
    </w:p>
    <w:p>
      <w:pPr>
        <w:spacing w:before="80" w:after="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trPr/>
        <w:tc>
          <w:tcPr>
            <w:tcW w:w="9360" w:type="dxa"/>
            <w:tcBorders>
              <w:top w:val="single" w:sz="12" w:space="0" w:color="196B23"/>
              <w:left w:val="single" w:sz="4" w:space="0" w:color="CCCCCC"/>
              <w:bottom w:val="single" w:sz="4" w:space="0" w:color="CCCCCC"/>
              <w:right w:val="single" w:sz="4" w:space="0" w:color="CCCCCC"/>
            </w:tcBorders>
            <w:shd w:val="clear" w:color="auto" w:fill="FFFFFF"/>
            <w:tcMar>
              <w:top w:w="160" w:type="dxa"/>
              <w:left w:w="180" w:type="dxa"/>
              <w:bottom w:w="160" w:type="dxa"/>
              <w:right w:w="180" w:type="dxa"/>
            </w:tcMar>
          </w:tcPr>
          <w:p>
            <w:pPr>
              <w:spacing w:before="0" w:after="80"/>
            </w:pPr>
            <w:r>
              <w:rPr>
                <w:b/>
                <w:bCs/>
                <w:color w:val="196B23"/>
                <w:sz w:val="21"/>
                <w:szCs w:val="21"/>
              </w:rPr>
              <w:t>EXHIBIT A — TRACK B ENGAGEMENT NOTICE</w:t>
            </w:r>
          </w:p>
          <w:p>
            <w:pPr>
              <w:spacing w:before="0" w:after="100"/>
            </w:pPr>
            <w:r>
              <w:rPr>
                <w:b/>
                <w:bCs/>
                <w:color w:val="444444"/>
                <w:sz w:val="19"/>
                <w:szCs w:val="19"/>
              </w:rPr>
              <w:t xml:space="preserve">1212 Lobdel Avenue — Multi-Unit Affordable Infill Housing  ·  Merge 4 Design LLC</w:t>
            </w:r>
          </w:p>
          <w:p>
            <w:pPr>
              <w:spacing w:before="0" w:after="60"/>
            </w:pPr>
            <w:r>
              <w:rPr>
                <w:b/>
                <w:bCs/>
                <w:color w:val="444444"/>
                <w:sz w:val="19"/>
                <w:szCs w:val="19"/>
              </w:rPr>
              <w:t>Purpose of this Exhibit</w:t>
            </w:r>
          </w:p>
          <w:p>
            <w:pPr>
              <w:spacing w:before="0" w:after="80"/>
            </w:pPr>
            <w:r>
              <w:rPr>
                <w:color w:val="1F2937"/>
                <w:sz w:val="20"/>
                <w:szCs w:val="20"/>
              </w:rPr>
              <w:t>Merge 4 Design LLC (M4D) intends to submit a complete fee proposal for Track B Architecture &amp; Engineering services — covering Schematic Design through Construction Administration — upon completion of the Track A predevelopment intelligence package and WHA’s selection of a preferred yield scenario and construction type.</w:t>
            </w:r>
          </w:p>
          <w:p>
            <w:pPr>
              <w:spacing w:before="80" w:after="60"/>
            </w:pPr>
            <w:r>
              <w:rPr>
                <w:color w:val="1F2937"/>
                <w:sz w:val="20"/>
                <w:szCs w:val="20"/>
              </w:rPr>
              <w:t>Track B fee development requires the following inputs from Track A and WHA:</w:t>
            </w:r>
          </w:p>
          <w:p>
            <w:pPr>
              <w:numPr>
                <w:ilvl w:val="0"/>
                <w:numId w:val="1"/>
              </w:numPr>
              <w:spacing w:before="40" w:after="40"/>
            </w:pPr>
            <w:r>
              <w:rPr>
                <w:color w:val="1F2937"/>
                <w:sz w:val="20"/>
                <w:szCs w:val="20"/>
              </w:rPr>
              <w:t>Confirmed yield scenario (Scenario I, II, or III — unit count, unit width)</w:t>
            </w:r>
          </w:p>
          <w:p>
            <w:pPr>
              <w:numPr>
                <w:ilvl w:val="0"/>
                <w:numId w:val="1"/>
              </w:numPr>
              <w:spacing w:before="40" w:after="40"/>
            </w:pPr>
            <w:r>
              <w:rPr>
                <w:color w:val="1F2937"/>
                <w:sz w:val="20"/>
                <w:szCs w:val="20"/>
              </w:rPr>
              <w:t>WHA-selected construction type (Type A CLT/SIP, Type B Off-Site Modular, or Type C Stick-Build) — each type carries materially different documentation and coordination effort</w:t>
            </w:r>
          </w:p>
          <w:p>
            <w:pPr>
              <w:numPr>
                <w:ilvl w:val="0"/>
                <w:numId w:val="1"/>
              </w:numPr>
              <w:spacing w:before="40" w:after="40"/>
            </w:pPr>
            <w:r>
              <w:rPr>
                <w:color w:val="1F2937"/>
                <w:sz w:val="20"/>
                <w:szCs w:val="20"/>
              </w:rPr>
              <w:t>Geotechnical and Phase I ESA results, which affect foundation and structural subconsultant scope</w:t>
            </w:r>
          </w:p>
          <w:p>
            <w:pPr>
              <w:numPr>
                <w:ilvl w:val="0"/>
                <w:numId w:val="1"/>
              </w:numPr>
              <w:spacing w:before="40" w:after="40"/>
            </w:pPr>
            <w:r>
              <w:rPr>
                <w:color w:val="1F2937"/>
                <w:sz w:val="20"/>
                <w:szCs w:val="20"/>
              </w:rPr>
              <w:t>WHA financing structure and subsidy sources, which may impose additional documentation requirements (LIHTC, HOME, HUD Section 3)</w:t>
            </w:r>
          </w:p>
          <w:p>
            <w:pPr>
              <w:spacing w:before="80" w:after="0"/>
            </w:pPr>
          </w:p>
          <w:p>
            <w:pPr>
              <w:spacing w:before="0" w:after="60"/>
            </w:pPr>
            <w:r>
              <w:rPr>
                <w:b/>
                <w:bCs/>
                <w:color w:val="444444"/>
                <w:sz w:val="19"/>
                <w:szCs w:val="19"/>
              </w:rPr>
              <w:t>Anticipated Track B Scope (for planning purposes only — not a binding fee):</w:t>
            </w:r>
          </w:p>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2400"/>
              <w:gridCol w:w="1800"/>
            </w:tblGrid>
            <w:tr>
              <w:trPr/>
              <w:tc>
                <w:tcPr>
                  <w:tcW w:w="36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140" w:type="dxa"/>
                    <w:bottom w:w="80" w:type="dxa"/>
                    <w:right w:w="140" w:type="dxa"/>
                  </w:tcMar>
                </w:tcPr>
                <w:p>
                  <w:pPr>
                    <w:spacing w:before="0" w:after="0"/>
                  </w:pPr>
                  <w:r>
                    <w:rPr>
                      <w:b/>
                      <w:bCs/>
                      <w:color w:val="444444"/>
                      <w:sz w:val="18"/>
                      <w:szCs w:val="18"/>
                    </w:rPr>
                    <w:t>Phase</w:t>
                  </w:r>
                </w:p>
              </w:tc>
              <w:tc>
                <w:tcPr>
                  <w:tcW w:w="24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140" w:type="dxa"/>
                    <w:bottom w:w="80" w:type="dxa"/>
                    <w:right w:w="140" w:type="dxa"/>
                  </w:tcMar>
                </w:tcPr>
                <w:p>
                  <w:pPr>
                    <w:spacing w:before="0" w:after="0"/>
                  </w:pPr>
                  <w:r>
                    <w:rPr>
                      <w:b/>
                      <w:bCs/>
                      <w:color w:val="444444"/>
                      <w:sz w:val="18"/>
                      <w:szCs w:val="18"/>
                    </w:rPr>
                    <w:t>Scope</w:t>
                  </w:r>
                </w:p>
              </w:tc>
              <w:tc>
                <w:tcPr>
                  <w:tcW w:w="18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140" w:type="dxa"/>
                    <w:bottom w:w="80" w:type="dxa"/>
                    <w:right w:w="140" w:type="dxa"/>
                  </w:tcMar>
                </w:tcPr>
                <w:p>
                  <w:pPr>
                    <w:spacing w:before="0" w:after="0"/>
                  </w:pPr>
                  <w:r>
                    <w:rPr>
                      <w:b/>
                      <w:bCs/>
                      <w:color w:val="444444"/>
                      <w:sz w:val="18"/>
                      <w:szCs w:val="18"/>
                    </w:rPr>
                    <w:t>Basis</w:t>
                  </w:r>
                </w:p>
              </w:tc>
            </w:tr>
            <w:tr>
              <w:trPr/>
              <w:tc>
                <w:tcPr>
                  <w:tcW w:w="360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B1 — Schematic Design (SD)</w:t>
                  </w:r>
                </w:p>
              </w:tc>
              <w:tc>
                <w:tcPr>
                  <w:tcW w:w="240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All confirmed scenarios; site plan; unit plan types; CBai renderings</w:t>
                  </w:r>
                </w:p>
              </w:tc>
              <w:tc>
                <w:tcPr>
                  <w:tcW w:w="180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Lump sum per scenario</w:t>
                  </w:r>
                </w:p>
              </w:tc>
            </w:tr>
            <w:tr>
              <w:trPr/>
              <w:tc>
                <w:tcPr>
                  <w:tcW w:w="360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B2 — Design Development (DD)</w:t>
                  </w:r>
                </w:p>
              </w:tc>
              <w:tc>
                <w:tcPr>
                  <w:tcW w:w="240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Selected scenario only; system coordination; modular coordination (if Type B)</w:t>
                  </w:r>
                </w:p>
              </w:tc>
              <w:tc>
                <w:tcPr>
                  <w:tcW w:w="180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Lump sum</w:t>
                  </w:r>
                </w:p>
              </w:tc>
            </w:tr>
            <w:tr>
              <w:trPr/>
              <w:tc>
                <w:tcPr>
                  <w:tcW w:w="360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B3 — Construction Documents (CD)</w:t>
                  </w:r>
                </w:p>
              </w:tc>
              <w:tc>
                <w:tcPr>
                  <w:tcW w:w="240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Permit-ready stamped set; standardized row house documentation</w:t>
                  </w:r>
                </w:p>
              </w:tc>
              <w:tc>
                <w:tcPr>
                  <w:tcW w:w="180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Lump sum</w:t>
                  </w:r>
                </w:p>
              </w:tc>
            </w:tr>
            <w:tr>
              <w:trPr/>
              <w:tc>
                <w:tcPr>
                  <w:tcW w:w="360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B4 — Permitting &amp; AHJ Coordination</w:t>
                  </w:r>
                </w:p>
              </w:tc>
              <w:tc>
                <w:tcPr>
                  <w:tcW w:w="240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City of Wilmington permit submission; plan review response</w:t>
                  </w:r>
                </w:p>
              </w:tc>
              <w:tc>
                <w:tcPr>
                  <w:tcW w:w="180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Hourly NTE</w:t>
                  </w:r>
                </w:p>
              </w:tc>
            </w:tr>
            <w:tr>
              <w:trPr/>
              <w:tc>
                <w:tcPr>
                  <w:tcW w:w="360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B5 — Construction Administration (CA)</w:t>
                  </w:r>
                </w:p>
              </w:tc>
              <w:tc>
                <w:tcPr>
                  <w:tcW w:w="240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Site observation, RFI/submittal review, punch list</w:t>
                  </w:r>
                </w:p>
              </w:tc>
              <w:tc>
                <w:tcPr>
                  <w:tcW w:w="180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Hourly NTE</w:t>
                  </w:r>
                </w:p>
              </w:tc>
            </w:tr>
            <w:tr>
              <w:trPr/>
              <w:tc>
                <w:tcPr>
                  <w:tcW w:w="360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Subconsultants</w:t>
                  </w:r>
                </w:p>
              </w:tc>
              <w:tc>
                <w:tcPr>
                  <w:tcW w:w="240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Civil, Structural, MEP engineering — firms to be determined by WHA and M4D upon construction type selection</w:t>
                  </w:r>
                </w:p>
              </w:tc>
              <w:tc>
                <w:tcPr>
                  <w:tcW w:w="1800" w:type="dxa"/>
                  <w:tcBorders>
                    <w:top w:val="single" w:sz="4" w:space="0" w:color="CCCCCC"/>
                    <w:left w:val="single" w:sz="4" w:space="0" w:color="CCCCCC"/>
                    <w:bottom w:val="single" w:sz="4" w:space="0" w:color="CCCCCC"/>
                    <w:right w:val="single" w:sz="4" w:space="0" w:color="CCCCCC"/>
                  </w:tcBorders>
                  <w:shd w:val="clear" w:color="auto" w:fill="F8F8F8"/>
                  <w:tcMar>
                    <w:top w:w="80" w:type="dxa"/>
                    <w:left w:w="140" w:type="dxa"/>
                    <w:bottom w:w="80" w:type="dxa"/>
                    <w:right w:w="140" w:type="dxa"/>
                  </w:tcMar>
                </w:tcPr>
                <w:p>
                  <w:pPr>
                    <w:spacing w:before="0" w:after="0"/>
                  </w:pPr>
                  <w:r>
                    <w:rPr>
                      <w:color w:val="1F2937"/>
                      <w:sz w:val="19"/>
                      <w:szCs w:val="19"/>
                    </w:rPr>
                    <w:t>Pass-through or separate contract</w:t>
                  </w:r>
                </w:p>
              </w:tc>
            </w:tr>
            <w:tr>
              <w:trPr/>
              <w:tc>
                <w:tcPr>
                  <w:tcW w:w="360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Aubyn Architecture AOR fee</w:t>
                  </w:r>
                </w:p>
              </w:tc>
              <w:tc>
                <w:tcPr>
                  <w:tcW w:w="240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10% of M4D architectural fee (Tracks B1–B3 phases requiring stamped documents)</w:t>
                  </w:r>
                </w:p>
              </w:tc>
              <w:tc>
                <w:tcPr>
                  <w:tcW w:w="180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pPr>
                    <w:spacing w:before="0" w:after="0"/>
                  </w:pPr>
                  <w:r>
                    <w:rPr>
                      <w:color w:val="1F2937"/>
                      <w:sz w:val="19"/>
                      <w:szCs w:val="19"/>
                    </w:rPr>
                    <w:t>Per Master C401 Agreement</w:t>
                  </w:r>
                </w:p>
              </w:tc>
            </w:tr>
          </w:tbl>
          <w:p>
            <w:pPr>
              <w:spacing w:before="80" w:after="0"/>
            </w:pPr>
          </w:p>
          <w:p>
            <w:pPr>
              <w:spacing w:before="0" w:after="80"/>
            </w:pPr>
            <w:r>
              <w:rPr>
                <w:i/>
                <w:iCs/>
                <w:color w:val="555555"/>
                <w:sz w:val="20"/>
                <w:szCs w:val="20"/>
              </w:rPr>
              <w:t>M4D will deliver the Track B fee proposal in writing within fourteen (14) days of WHA’s written notice of scenario and construction type selection. Track B requires a separate written authorization and PSA amendment. No Track B services will commence without written authorization.</w:t>
            </w:r>
          </w:p>
        </w:tc>
      </w:tr>
    </w:tbl>
    <w:p>
      <w:r>
        <w:br w:type="page"/>
      </w:r>
    </w:p>
    <w:p>
      <w:pPr>
        <w:pStyle w:val="Heading1"/>
        <w:shd w:val="clear" w:color="auto" w:fill="CCCCCC"/>
        <w:spacing w:after="0"/>
      </w:pPr>
      <w:r>
        <w:rPr>
          <w:b/>
          <w:bCs/>
          <w:color w:val="444444"/>
          <w:sz w:val="26"/>
          <w:szCs w:val="26"/>
        </w:rPr>
        <w:t xml:space="preserve">06.  Authorization — Track A</w:t>
      </w:r>
    </w:p>
    <w:p>
      <w:pPr>
        <w:spacing w:before="80" w:after="0"/>
      </w:pPr>
    </w:p>
    <w:p>
      <w:pPr>
        <w:spacing w:before="40" w:after="80"/>
      </w:pPr>
      <w:r>
        <w:rPr>
          <w:color w:val="1F2937"/>
          <w:sz w:val="20"/>
          <w:szCs w:val="20"/>
        </w:rPr>
        <w:t>To authorize Track A services, please execute this proposal and return a signed copy to M4D. A Professional Services Agreement (M4D PSA, Doc No. M2_2026_005-PSA) will be issued upon receipt. Services will commence within three (3) business days of executed PSA and receipt of the Track A retainer.</w:t>
      </w:r>
    </w:p>
    <w:p>
      <w:pPr>
        <w:spacing w:before="80" w:after="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trPr/>
        <w:tc>
          <w:tcPr>
            <w:tcW w:w="4680" w:type="dxa"/>
            <w:tcBorders>
              <w:top w:val="single" w:sz="4" w:space="0" w:color="CCCCCC"/>
              <w:left w:val="single" w:sz="4" w:space="0" w:color="CCCCCC"/>
              <w:bottom w:val="single" w:sz="4" w:space="0" w:color="CCCCCC"/>
              <w:right w:val="single" w:sz="4" w:space="0" w:color="CCCCCC"/>
            </w:tcBorders>
            <w:shd w:val="clear" w:color="auto" w:fill="F0F0F0"/>
            <w:tcMar>
              <w:top w:w="160" w:type="dxa"/>
              <w:left w:w="180" w:type="dxa"/>
              <w:bottom w:w="160" w:type="dxa"/>
              <w:right w:w="180" w:type="dxa"/>
            </w:tcMar>
          </w:tcPr>
          <w:p>
            <w:pPr>
              <w:spacing w:before="0" w:after="60"/>
            </w:pPr>
            <w:r>
              <w:rPr>
                <w:b/>
                <w:bCs/>
                <w:color w:val="444444"/>
                <w:sz w:val="19"/>
                <w:szCs w:val="19"/>
              </w:rPr>
              <w:t>Track A Fixed Fee</w:t>
            </w:r>
          </w:p>
          <w:p>
            <w:pPr>
              <w:spacing w:before="0" w:after="60"/>
            </w:pPr>
            <w:r>
              <w:rPr>
                <w:b/>
                <w:bCs/>
                <w:color w:val="196B23"/>
                <w:sz w:val="32"/>
                <w:szCs w:val="32"/>
              </w:rPr>
              <w:t>$15,865.00</w:t>
            </w:r>
          </w:p>
          <w:p>
            <w:pPr>
              <w:spacing w:before="0" w:after="0"/>
            </w:pPr>
            <w:r>
              <w:rPr>
                <w:color w:val="555555"/>
                <w:sz w:val="18"/>
                <w:szCs w:val="18"/>
              </w:rPr>
              <w:t>Retainer (50% due upon authorization): $7,932.50</w:t>
            </w:r>
          </w:p>
        </w:tc>
        <w:tc>
          <w:tcPr>
            <w:tcW w:w="4680" w:type="dxa"/>
            <w:tcBorders>
              <w:top w:val="single" w:sz="4" w:space="0" w:color="CCCCCC"/>
              <w:left w:val="single" w:sz="4" w:space="0" w:color="CCCCCC"/>
              <w:bottom w:val="single" w:sz="4" w:space="0" w:color="CCCCCC"/>
              <w:right w:val="single" w:sz="4" w:space="0" w:color="CCCCCC"/>
            </w:tcBorders>
            <w:tcMar>
              <w:top w:w="160" w:type="dxa"/>
              <w:left w:w="180" w:type="dxa"/>
              <w:bottom w:w="160" w:type="dxa"/>
              <w:right w:w="180" w:type="dxa"/>
            </w:tcMar>
          </w:tcPr>
          <w:p>
            <w:pPr>
              <w:spacing w:before="0" w:after="60"/>
            </w:pPr>
            <w:r>
              <w:rPr>
                <w:color w:val="444444"/>
                <w:sz w:val="19"/>
                <w:szCs w:val="19"/>
              </w:rPr>
              <w:t>Delivery: 4 weeks from written authorization</w:t>
            </w:r>
          </w:p>
          <w:p>
            <w:pPr>
              <w:spacing w:before="0" w:after="60"/>
            </w:pPr>
            <w:r>
              <w:rPr>
                <w:color w:val="444444"/>
                <w:sz w:val="19"/>
                <w:szCs w:val="19"/>
              </w:rPr>
              <w:t>Governing agreement: M4D PSA (to be issued)</w:t>
            </w:r>
          </w:p>
          <w:p>
            <w:pPr>
              <w:spacing w:before="0" w:after="0"/>
            </w:pPr>
            <w:r>
              <w:rPr>
                <w:color w:val="444444"/>
                <w:sz w:val="19"/>
                <w:szCs w:val="19"/>
              </w:rPr>
              <w:t>Invoice: Net 15 days</w:t>
            </w:r>
          </w:p>
        </w:tc>
      </w:tr>
    </w:tbl>
    <w:p>
      <w:pPr>
        <w:spacing w:before="120" w:after="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trPr/>
        <w:tc>
          <w:tcPr>
            <w:tcW w:w="4680" w:type="dxa"/>
            <w:tcBorders>
              <w:top w:val="single" w:sz="4" w:space="0" w:color="CCCCCC"/>
              <w:left w:val="single" w:sz="4" w:space="0" w:color="CCCCCC"/>
              <w:bottom w:val="single" w:sz="4" w:space="0" w:color="CCCCCC"/>
              <w:right w:val="single" w:sz="4" w:space="0" w:color="CCCCCC"/>
            </w:tcBorders>
            <w:tcMar>
              <w:top w:w="160" w:type="dxa"/>
              <w:left w:w="180" w:type="dxa"/>
              <w:bottom w:w="160" w:type="dxa"/>
              <w:right w:w="180" w:type="dxa"/>
            </w:tcMar>
          </w:tcPr>
          <w:p>
            <w:pPr>
              <w:spacing w:before="0" w:after="120"/>
            </w:pPr>
            <w:r>
              <w:rPr>
                <w:b/>
                <w:bCs/>
                <w:color w:val="888888"/>
                <w:sz w:val="17"/>
                <w:szCs w:val="17"/>
              </w:rPr>
              <w:t>AUTHORIZED BY — MERGE 4 DESIGN LLC</w:t>
            </w:r>
          </w:p>
          <w:p>
            <w:pPr>
              <w:spacing w:before="0" w:after="60"/>
            </w:pPr>
            <w:r>
              <w:rPr>
                <w:color w:val="444444"/>
                <w:sz w:val="20"/>
                <w:szCs w:val="20"/>
              </w:rPr>
              <w:t>_______________________________________</w:t>
            </w:r>
          </w:p>
          <w:p>
            <w:pPr>
              <w:spacing w:before="0" w:after="40"/>
            </w:pPr>
            <w:r>
              <w:rPr>
                <w:color w:val="444444"/>
                <w:sz w:val="19"/>
                <w:szCs w:val="19"/>
              </w:rPr>
              <w:t>David Ainsworth AIA, Principal</w:t>
            </w:r>
          </w:p>
          <w:p>
            <w:pPr>
              <w:spacing w:before="0" w:after="40"/>
            </w:pPr>
            <w:r>
              <w:rPr>
                <w:color w:val="444444"/>
                <w:sz w:val="19"/>
                <w:szCs w:val="19"/>
              </w:rPr>
              <w:t>Merge 4 Design LLC</w:t>
            </w:r>
          </w:p>
          <w:p>
            <w:pPr>
              <w:spacing w:before="0" w:after="0"/>
            </w:pPr>
            <w:r>
              <w:rPr>
                <w:color w:val="444444"/>
                <w:sz w:val="19"/>
                <w:szCs w:val="19"/>
              </w:rPr>
              <w:t>Date: _______________________</w:t>
            </w:r>
          </w:p>
        </w:tc>
        <w:tc>
          <w:tcPr>
            <w:tcW w:w="4680" w:type="dxa"/>
            <w:tcBorders>
              <w:top w:val="single" w:sz="4" w:space="0" w:color="CCCCCC"/>
              <w:left w:val="single" w:sz="4" w:space="0" w:color="CCCCCC"/>
              <w:bottom w:val="single" w:sz="4" w:space="0" w:color="CCCCCC"/>
              <w:right w:val="single" w:sz="4" w:space="0" w:color="CCCCCC"/>
            </w:tcBorders>
            <w:tcMar>
              <w:top w:w="160" w:type="dxa"/>
              <w:left w:w="180" w:type="dxa"/>
              <w:bottom w:w="160" w:type="dxa"/>
              <w:right w:w="180" w:type="dxa"/>
            </w:tcMar>
          </w:tcPr>
          <w:p>
            <w:pPr>
              <w:spacing w:before="0" w:after="120"/>
            </w:pPr>
            <w:r>
              <w:rPr>
                <w:b/>
                <w:bCs/>
                <w:color w:val="888888"/>
                <w:sz w:val="17"/>
                <w:szCs w:val="17"/>
              </w:rPr>
              <w:t>AUTHORIZED BY — WILMINGTON HOUSING AUTHORITY</w:t>
            </w:r>
          </w:p>
          <w:p>
            <w:pPr>
              <w:spacing w:before="0" w:after="60"/>
            </w:pPr>
            <w:r>
              <w:rPr>
                <w:color w:val="444444"/>
                <w:sz w:val="20"/>
                <w:szCs w:val="20"/>
              </w:rPr>
              <w:t>_______________________________________</w:t>
            </w:r>
          </w:p>
          <w:p>
            <w:pPr>
              <w:spacing w:before="0" w:after="40"/>
            </w:pPr>
            <w:r>
              <w:rPr>
                <w:color w:val="444444"/>
                <w:sz w:val="19"/>
                <w:szCs w:val="19"/>
              </w:rPr>
              <w:t>Name: _______________________</w:t>
            </w:r>
          </w:p>
          <w:p>
            <w:pPr>
              <w:spacing w:before="0" w:after="40"/>
            </w:pPr>
            <w:r>
              <w:rPr>
                <w:color w:val="444444"/>
                <w:sz w:val="19"/>
                <w:szCs w:val="19"/>
              </w:rPr>
              <w:t>Title: _______________________</w:t>
            </w:r>
          </w:p>
          <w:p>
            <w:pPr>
              <w:spacing w:before="0" w:after="0"/>
            </w:pPr>
            <w:r>
              <w:rPr>
                <w:color w:val="444444"/>
                <w:sz w:val="19"/>
                <w:szCs w:val="19"/>
              </w:rPr>
              <w:t>Date: _______________________</w:t>
            </w:r>
          </w:p>
        </w:tc>
      </w:tr>
    </w:tbl>
    <w:p>
      <w:pPr>
        <w:spacing w:before="160" w:after="0"/>
      </w:pPr>
    </w:p>
    <w:p>
      <w:pPr>
        <w:pBdr>
          <w:bottom w:val="single" w:sz="4" w:space="1" w:color="CCCCCC"/>
        </w:pBdr>
        <w:spacing w:before="60" w:after="60"/>
      </w:pPr>
    </w:p>
    <w:p>
      <w:pPr>
        <w:spacing w:before="80" w:after="80"/>
      </w:pPr>
      <w:r>
        <w:rPr>
          <w:b/>
          <w:bCs/>
          <w:color w:val="444444"/>
          <w:sz w:val="17"/>
          <w:szCs w:val="17"/>
        </w:rPr>
        <w:t xml:space="preserve">FLAG FOR LEGAL/FINANCIAL REVIEW:  </w:t>
      </w:r>
      <w:r>
        <w:rPr>
          <w:color w:val="888888"/>
          <w:sz w:val="17"/>
          <w:szCs w:val="17"/>
        </w:rPr>
        <w:t>Confirm WHA procurement requirements (DBE/MBE thresholds, HUD Section 3, City of Wilmington local hiring provisions) before contract execution. This proposal does not constitute a contract. The ALDi™ G0 ROM values referenced herein are rough orders of magnitude and do not constitute a bid, guarantee, or warranty of construction cost. Professional legal review is recommended prior to execution.</w:t>
      </w:r>
    </w:p>
    <w:sectPr w:rsidR="005A5284" w:rsidRPr="001026E2">
      <w:headerReference w:type="default" r:id="rId7"/>
      <w:footerReference w:type="default" r:id="rId8"/>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E2EFC" w14:textId="77777777" w:rsidR="009761D8" w:rsidRDefault="009761D8">
      <w:r>
        <w:separator/>
      </w:r>
    </w:p>
  </w:endnote>
  <w:endnote w:type="continuationSeparator" w:id="0">
    <w:p w14:paraId="35880587" w14:textId="77777777" w:rsidR="009761D8" w:rsidRDefault="009761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405597"/>
      <w:docPartObj>
        <w:docPartGallery w:val="Page Numbers (Bottom of Page)"/>
        <w:docPartUnique/>
      </w:docPartObj>
    </w:sdtPr>
    <w:sdtContent>
      <w:sdt>
        <w:sdtPr>
          <w:id w:val="-1769616900"/>
          <w:docPartObj>
            <w:docPartGallery w:val="Page Numbers (Top of Page)"/>
            <w:docPartUnique/>
          </w:docPartObj>
        </w:sdtPr>
        <w:sdtContent>
          <w:p w14:paraId="1D675DDE" w14:textId="51B85117" w:rsidR="00D962B3" w:rsidRDefault="002857C9" w:rsidP="00793DF1">
            <w:pPr>
              <w:pStyle w:val="Footer"/>
            </w:pPr>
            <w:r w:rsidRPr="002857C9">
              <w:rPr>
                <w:color w:val="888888"/>
                <w:sz w:val="16"/>
                <w:szCs w:val="16"/>
              </w:rPr>
              <w:t xml:space="preserve">© 2026 Merge 4 Design LLC d/b/a M4Di.                                                                                            </w:t>
            </w:r>
            <w:r w:rsidR="00805D69">
              <w:rPr>
                <w:color w:val="888888"/>
                <w:sz w:val="16"/>
                <w:szCs w:val="16"/>
              </w:rPr>
              <w:t xml:space="preserve">                       </w:t>
            </w:r>
            <w:r w:rsidRPr="002857C9">
              <w:rPr>
                <w:color w:val="888888"/>
                <w:sz w:val="16"/>
                <w:szCs w:val="16"/>
              </w:rPr>
              <w:t xml:space="preserve">            </w:t>
            </w:r>
            <w:r w:rsidR="00793DF1" w:rsidRPr="002857C9">
              <w:rPr>
                <w:sz w:val="16"/>
                <w:szCs w:val="16"/>
              </w:rPr>
              <w:t xml:space="preserve">    </w:t>
            </w:r>
            <w:r w:rsidR="00D962B3" w:rsidRPr="002857C9">
              <w:rPr>
                <w:color w:val="A6A6A6" w:themeColor="background1" w:themeShade="A6"/>
                <w:sz w:val="16"/>
                <w:szCs w:val="16"/>
              </w:rPr>
              <w:t xml:space="preserve">Page </w:t>
            </w:r>
            <w:r w:rsidR="00D962B3" w:rsidRPr="002857C9">
              <w:rPr>
                <w:b/>
                <w:bCs/>
                <w:color w:val="A6A6A6" w:themeColor="background1" w:themeShade="A6"/>
                <w:sz w:val="16"/>
                <w:szCs w:val="16"/>
              </w:rPr>
              <w:fldChar w:fldCharType="begin"/>
            </w:r>
            <w:r w:rsidR="00D962B3" w:rsidRPr="002857C9">
              <w:rPr>
                <w:b/>
                <w:bCs/>
                <w:color w:val="A6A6A6" w:themeColor="background1" w:themeShade="A6"/>
                <w:sz w:val="16"/>
                <w:szCs w:val="16"/>
              </w:rPr>
              <w:instrText xml:space="preserve"> PAGE </w:instrText>
            </w:r>
            <w:r w:rsidR="00D962B3" w:rsidRPr="002857C9">
              <w:rPr>
                <w:b/>
                <w:bCs/>
                <w:color w:val="A6A6A6" w:themeColor="background1" w:themeShade="A6"/>
                <w:sz w:val="16"/>
                <w:szCs w:val="16"/>
              </w:rPr>
              <w:fldChar w:fldCharType="separate"/>
            </w:r>
            <w:r w:rsidR="00D962B3" w:rsidRPr="002857C9">
              <w:rPr>
                <w:b/>
                <w:bCs/>
                <w:noProof/>
                <w:color w:val="A6A6A6" w:themeColor="background1" w:themeShade="A6"/>
                <w:sz w:val="16"/>
                <w:szCs w:val="16"/>
              </w:rPr>
              <w:t>2</w:t>
            </w:r>
            <w:r w:rsidR="00D962B3" w:rsidRPr="002857C9">
              <w:rPr>
                <w:b/>
                <w:bCs/>
                <w:color w:val="A6A6A6" w:themeColor="background1" w:themeShade="A6"/>
                <w:sz w:val="16"/>
                <w:szCs w:val="16"/>
              </w:rPr>
              <w:fldChar w:fldCharType="end"/>
            </w:r>
            <w:r w:rsidR="00D962B3" w:rsidRPr="002857C9">
              <w:rPr>
                <w:color w:val="A6A6A6" w:themeColor="background1" w:themeShade="A6"/>
                <w:sz w:val="16"/>
                <w:szCs w:val="16"/>
              </w:rPr>
              <w:t xml:space="preserve"> of </w:t>
            </w:r>
            <w:r w:rsidR="00D962B3" w:rsidRPr="002857C9">
              <w:rPr>
                <w:b/>
                <w:bCs/>
                <w:color w:val="A6A6A6" w:themeColor="background1" w:themeShade="A6"/>
                <w:sz w:val="16"/>
                <w:szCs w:val="16"/>
              </w:rPr>
              <w:fldChar w:fldCharType="begin"/>
            </w:r>
            <w:r w:rsidR="00D962B3" w:rsidRPr="002857C9">
              <w:rPr>
                <w:b/>
                <w:bCs/>
                <w:color w:val="A6A6A6" w:themeColor="background1" w:themeShade="A6"/>
                <w:sz w:val="16"/>
                <w:szCs w:val="16"/>
              </w:rPr>
              <w:instrText xml:space="preserve"> NUMPAGES  </w:instrText>
            </w:r>
            <w:r w:rsidR="00D962B3" w:rsidRPr="002857C9">
              <w:rPr>
                <w:b/>
                <w:bCs/>
                <w:color w:val="A6A6A6" w:themeColor="background1" w:themeShade="A6"/>
                <w:sz w:val="16"/>
                <w:szCs w:val="16"/>
              </w:rPr>
              <w:fldChar w:fldCharType="separate"/>
            </w:r>
            <w:r w:rsidR="00D962B3" w:rsidRPr="002857C9">
              <w:rPr>
                <w:b/>
                <w:bCs/>
                <w:noProof/>
                <w:color w:val="A6A6A6" w:themeColor="background1" w:themeShade="A6"/>
                <w:sz w:val="16"/>
                <w:szCs w:val="16"/>
              </w:rPr>
              <w:t>2</w:t>
            </w:r>
            <w:r w:rsidR="00D962B3" w:rsidRPr="002857C9">
              <w:rPr>
                <w:b/>
                <w:bCs/>
                <w:color w:val="A6A6A6" w:themeColor="background1" w:themeShade="A6"/>
                <w:sz w:val="16"/>
                <w:szCs w:val="16"/>
              </w:rPr>
              <w:fldChar w:fldCharType="end"/>
            </w:r>
          </w:p>
        </w:sdtContent>
      </w:sdt>
    </w:sdtContent>
  </w:sdt>
  <w:p w14:paraId="5D797FDF" w14:textId="3AFD2AFF" w:rsidR="005A5284" w:rsidRPr="007E5F7A" w:rsidRDefault="005A5284" w:rsidP="003661D5">
    <w:pPr>
      <w:pStyle w:val="Footer"/>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D9F09A" w14:textId="77777777" w:rsidR="009761D8" w:rsidRDefault="009761D8">
      <w:r>
        <w:separator/>
      </w:r>
    </w:p>
  </w:footnote>
  <w:footnote w:type="continuationSeparator" w:id="0">
    <w:p w14:paraId="73456534" w14:textId="77777777" w:rsidR="009761D8" w:rsidRDefault="009761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CDDF6" w14:textId="77777777" w:rsidR="001A71AE" w:rsidRDefault="004B09FD" w:rsidP="001A71AE">
    <w:pPr>
      <w:ind w:left="720" w:firstLine="720"/>
      <w:rPr>
        <w:b/>
        <w:bCs/>
        <w:color w:val="000000"/>
        <w:sz w:val="28"/>
        <w:szCs w:val="28"/>
      </w:rPr>
    </w:pPr>
    <w:r>
      <w:rPr>
        <w:noProof/>
      </w:rPr>
      <w:drawing>
        <wp:anchor distT="0" distB="0" distL="114300" distR="114300" simplePos="0" relativeHeight="251714560" behindDoc="0" locked="0" layoutInCell="1" allowOverlap="1" wp14:anchorId="72A76B5E" wp14:editId="6A5996B9">
          <wp:simplePos x="0" y="0"/>
          <wp:positionH relativeFrom="margin">
            <wp:align>left</wp:align>
          </wp:positionH>
          <wp:positionV relativeFrom="paragraph">
            <wp:posOffset>29237</wp:posOffset>
          </wp:positionV>
          <wp:extent cx="847311" cy="607447"/>
          <wp:effectExtent l="0" t="0" r="0" b="254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47311" cy="607447"/>
                  </a:xfrm>
                  <a:prstGeom prst="rect">
                    <a:avLst/>
                  </a:prstGeom>
                </pic:spPr>
              </pic:pic>
            </a:graphicData>
          </a:graphic>
          <wp14:sizeRelH relativeFrom="margin">
            <wp14:pctWidth>0</wp14:pctWidth>
          </wp14:sizeRelH>
          <wp14:sizeRelV relativeFrom="margin">
            <wp14:pctHeight>0</wp14:pctHeight>
          </wp14:sizeRelV>
        </wp:anchor>
      </w:drawing>
    </w:r>
    <w:r w:rsidR="001A71AE" w:rsidRPr="00E91400">
      <w:rPr>
        <w:b/>
        <w:bCs/>
        <w:color w:val="000000"/>
        <w:sz w:val="28"/>
        <w:szCs w:val="28"/>
      </w:rPr>
      <w:t>MERGE 4 DESIGN LLC</w:t>
    </w:r>
  </w:p>
  <w:p w14:paraId="1248F3A7" w14:textId="20856B2A" w:rsidR="00636FF9" w:rsidRDefault="001A71AE" w:rsidP="001A71AE">
    <w:pPr>
      <w:ind w:left="720" w:firstLine="720"/>
      <w:rPr>
        <w:color w:val="888888"/>
        <w:spacing w:val="40"/>
        <w:sz w:val="17"/>
        <w:szCs w:val="17"/>
      </w:rPr>
    </w:pPr>
    <w:r>
      <w:rPr>
        <w:color w:val="888888"/>
        <w:spacing w:val="40"/>
        <w:sz w:val="17"/>
        <w:szCs w:val="17"/>
      </w:rPr>
      <w:t>ARCHITECTURE DEVELOPMENT·CONSULTING</w:t>
    </w:r>
  </w:p>
  <w:p w14:paraId="358C2774" w14:textId="77777777" w:rsidR="001A71AE" w:rsidRPr="001A71AE" w:rsidRDefault="001A71AE" w:rsidP="001A71AE">
    <w:pPr>
      <w:rPr>
        <w:b/>
        <w:bCs/>
        <w:color w:val="000000"/>
        <w:sz w:val="28"/>
        <w:szCs w:val="28"/>
      </w:rPr>
    </w:pPr>
  </w:p>
  <w:p w14:paraId="7B450CDC" w14:textId="16D311A7" w:rsidR="00FB0B9A" w:rsidRDefault="00765BCE" w:rsidP="00765BCE">
    <w:pPr>
      <w:pBdr>
        <w:bottom w:val="single" w:sz="6" w:space="2" w:color="196B23"/>
      </w:pBdr>
      <w:spacing w:after="60"/>
      <w:rPr>
        <w:color w:val="374151"/>
        <w:sz w:val="16"/>
        <w:szCs w:val="16"/>
      </w:rPr>
    </w:pPr>
    <w:r>
      <w:rPr>
        <w:color w:val="374151"/>
        <w:sz w:val="16"/>
        <w:szCs w:val="16"/>
      </w:rPr>
      <w:t xml:space="preserve">                               </w:t>
    </w:r>
    <w:r w:rsidR="001A71AE">
      <w:rPr>
        <w:color w:val="374151"/>
        <w:sz w:val="16"/>
        <w:szCs w:val="16"/>
      </w:rPr>
      <w:t xml:space="preserve"> </w:t>
    </w:r>
    <w:r w:rsidR="00820CF8">
      <w:rPr>
        <w:color w:val="374151"/>
        <w:sz w:val="16"/>
        <w:szCs w:val="16"/>
      </w:rPr>
      <w:t xml:space="preserve">500 Delaware Ave., Suite 1 #1551, Wilmington, DE </w:t>
    </w:r>
    <w:r w:rsidR="00B91127">
      <w:rPr>
        <w:color w:val="374151"/>
        <w:sz w:val="16"/>
        <w:szCs w:val="16"/>
      </w:rPr>
      <w:t>19899 · info@merge4design.com</w:t>
    </w:r>
    <w:r w:rsidR="00B91127">
      <w:rPr>
        <w:color w:val="888888"/>
        <w:sz w:val="16"/>
        <w:szCs w:val="16"/>
      </w:rPr>
      <w:t xml:space="preserve"> · 302</w:t>
    </w:r>
    <w:r w:rsidR="00FB0B9A">
      <w:rPr>
        <w:color w:val="888888"/>
        <w:sz w:val="16"/>
        <w:szCs w:val="16"/>
      </w:rPr>
      <w:t xml:space="preserve"> 367 5726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93810"/>
    <w:multiLevelType w:val="hybridMultilevel"/>
    <w:tmpl w:val="E410EE42"/>
    <w:lvl w:ilvl="0" w:tplc="112C4ABA">
      <w:start w:val="1"/>
      <w:numFmt w:val="bullet"/>
      <w:lvlText w:val="•"/>
      <w:lvlJc w:val="left"/>
      <w:pPr>
        <w:ind w:left="540" w:hanging="260"/>
      </w:pPr>
    </w:lvl>
    <w:lvl w:ilvl="1" w:tplc="1C1CBA64">
      <w:start w:val="1"/>
      <w:numFmt w:val="bullet"/>
      <w:lvlText w:val="–"/>
      <w:lvlJc w:val="left"/>
      <w:pPr>
        <w:ind w:left="900" w:hanging="260"/>
      </w:pPr>
    </w:lvl>
    <w:lvl w:ilvl="2" w:tplc="04BCEC44">
      <w:numFmt w:val="decimal"/>
      <w:lvlText w:val=""/>
      <w:lvlJc w:val="left"/>
    </w:lvl>
    <w:lvl w:ilvl="3" w:tplc="88B644D8">
      <w:numFmt w:val="decimal"/>
      <w:lvlText w:val=""/>
      <w:lvlJc w:val="left"/>
    </w:lvl>
    <w:lvl w:ilvl="4" w:tplc="5D645DF6">
      <w:numFmt w:val="decimal"/>
      <w:lvlText w:val=""/>
      <w:lvlJc w:val="left"/>
    </w:lvl>
    <w:lvl w:ilvl="5" w:tplc="025A93BE">
      <w:numFmt w:val="decimal"/>
      <w:lvlText w:val=""/>
      <w:lvlJc w:val="left"/>
    </w:lvl>
    <w:lvl w:ilvl="6" w:tplc="63A4E984">
      <w:numFmt w:val="decimal"/>
      <w:lvlText w:val=""/>
      <w:lvlJc w:val="left"/>
    </w:lvl>
    <w:lvl w:ilvl="7" w:tplc="2C401F94">
      <w:numFmt w:val="decimal"/>
      <w:lvlText w:val=""/>
      <w:lvlJc w:val="left"/>
    </w:lvl>
    <w:lvl w:ilvl="8" w:tplc="F140B0FA">
      <w:numFmt w:val="decimal"/>
      <w:lvlText w:val=""/>
      <w:lvlJc w:val="left"/>
    </w:lvl>
  </w:abstractNum>
  <w:abstractNum w:abstractNumId="1" w15:restartNumberingAfterBreak="0">
    <w:nsid w:val="18D71A31"/>
    <w:multiLevelType w:val="hybridMultilevel"/>
    <w:tmpl w:val="FBC09C12"/>
    <w:lvl w:ilvl="0" w:tplc="E800E6B8">
      <w:start w:val="1"/>
      <w:numFmt w:val="bullet"/>
      <w:lvlText w:val="●"/>
      <w:lvlJc w:val="left"/>
      <w:pPr>
        <w:ind w:left="720" w:hanging="360"/>
      </w:pPr>
    </w:lvl>
    <w:lvl w:ilvl="1" w:tplc="AE5A1FE6">
      <w:start w:val="1"/>
      <w:numFmt w:val="bullet"/>
      <w:lvlText w:val="○"/>
      <w:lvlJc w:val="left"/>
      <w:pPr>
        <w:ind w:left="1440" w:hanging="360"/>
      </w:pPr>
    </w:lvl>
    <w:lvl w:ilvl="2" w:tplc="389C3F44">
      <w:start w:val="1"/>
      <w:numFmt w:val="bullet"/>
      <w:lvlText w:val="■"/>
      <w:lvlJc w:val="left"/>
      <w:pPr>
        <w:ind w:left="2160" w:hanging="360"/>
      </w:pPr>
    </w:lvl>
    <w:lvl w:ilvl="3" w:tplc="70F27AC2">
      <w:start w:val="1"/>
      <w:numFmt w:val="bullet"/>
      <w:lvlText w:val="●"/>
      <w:lvlJc w:val="left"/>
      <w:pPr>
        <w:ind w:left="2880" w:hanging="360"/>
      </w:pPr>
    </w:lvl>
    <w:lvl w:ilvl="4" w:tplc="08A895EC">
      <w:start w:val="1"/>
      <w:numFmt w:val="bullet"/>
      <w:lvlText w:val="○"/>
      <w:lvlJc w:val="left"/>
      <w:pPr>
        <w:ind w:left="3600" w:hanging="360"/>
      </w:pPr>
    </w:lvl>
    <w:lvl w:ilvl="5" w:tplc="17240564">
      <w:start w:val="1"/>
      <w:numFmt w:val="bullet"/>
      <w:lvlText w:val="■"/>
      <w:lvlJc w:val="left"/>
      <w:pPr>
        <w:ind w:left="4320" w:hanging="360"/>
      </w:pPr>
    </w:lvl>
    <w:lvl w:ilvl="6" w:tplc="25B046A8">
      <w:start w:val="1"/>
      <w:numFmt w:val="bullet"/>
      <w:lvlText w:val="●"/>
      <w:lvlJc w:val="left"/>
      <w:pPr>
        <w:ind w:left="5040" w:hanging="360"/>
      </w:pPr>
    </w:lvl>
    <w:lvl w:ilvl="7" w:tplc="0FD4A89C">
      <w:start w:val="1"/>
      <w:numFmt w:val="bullet"/>
      <w:lvlText w:val="●"/>
      <w:lvlJc w:val="left"/>
      <w:pPr>
        <w:ind w:left="5760" w:hanging="360"/>
      </w:pPr>
    </w:lvl>
    <w:lvl w:ilvl="8" w:tplc="D34A42F6">
      <w:start w:val="1"/>
      <w:numFmt w:val="bullet"/>
      <w:lvlText w:val="●"/>
      <w:lvlJc w:val="left"/>
      <w:pPr>
        <w:ind w:left="6480" w:hanging="360"/>
      </w:pPr>
    </w:lvl>
  </w:abstractNum>
  <w:abstractNum w:abstractNumId="2" w15:restartNumberingAfterBreak="0">
    <w:nsid w:val="2973592F"/>
    <w:multiLevelType w:val="hybridMultilevel"/>
    <w:tmpl w:val="6F6044D4"/>
    <w:lvl w:ilvl="0" w:tplc="FE54A910">
      <w:start w:val="1"/>
      <w:numFmt w:val="bullet"/>
      <w:lvlText w:val="•"/>
      <w:lvlJc w:val="left"/>
      <w:pPr>
        <w:ind w:left="540" w:hanging="260"/>
      </w:pPr>
    </w:lvl>
    <w:lvl w:ilvl="1" w:tplc="6964C28C">
      <w:start w:val="1"/>
      <w:numFmt w:val="bullet"/>
      <w:lvlText w:val="–"/>
      <w:lvlJc w:val="left"/>
      <w:pPr>
        <w:ind w:left="900" w:hanging="260"/>
      </w:pPr>
    </w:lvl>
    <w:lvl w:ilvl="2" w:tplc="F5324A8E">
      <w:numFmt w:val="decimal"/>
      <w:lvlText w:val=""/>
      <w:lvlJc w:val="left"/>
    </w:lvl>
    <w:lvl w:ilvl="3" w:tplc="B3D6C5C6">
      <w:numFmt w:val="decimal"/>
      <w:lvlText w:val=""/>
      <w:lvlJc w:val="left"/>
    </w:lvl>
    <w:lvl w:ilvl="4" w:tplc="D24C44FE">
      <w:numFmt w:val="decimal"/>
      <w:lvlText w:val=""/>
      <w:lvlJc w:val="left"/>
    </w:lvl>
    <w:lvl w:ilvl="5" w:tplc="181C318E">
      <w:numFmt w:val="decimal"/>
      <w:lvlText w:val=""/>
      <w:lvlJc w:val="left"/>
    </w:lvl>
    <w:lvl w:ilvl="6" w:tplc="77A2F73E">
      <w:numFmt w:val="decimal"/>
      <w:lvlText w:val=""/>
      <w:lvlJc w:val="left"/>
    </w:lvl>
    <w:lvl w:ilvl="7" w:tplc="C4CA04F6">
      <w:numFmt w:val="decimal"/>
      <w:lvlText w:val=""/>
      <w:lvlJc w:val="left"/>
    </w:lvl>
    <w:lvl w:ilvl="8" w:tplc="A56CBBEC">
      <w:numFmt w:val="decimal"/>
      <w:lvlText w:val=""/>
      <w:lvlJc w:val="left"/>
    </w:lvl>
  </w:abstractNum>
  <w:num w:numId="1" w16cid:durableId="1575553290">
    <w:abstractNumId w:val="1"/>
    <w:lvlOverride w:ilvl="0">
      <w:startOverride w:val="1"/>
    </w:lvlOverride>
  </w:num>
  <w:num w:numId="2" w16cid:durableId="358361512">
    <w:abstractNumId w:val="0"/>
    <w:lvlOverride w:ilvl="0">
      <w:startOverride w:val="1"/>
    </w:lvlOverride>
  </w:num>
  <w:num w:numId="3" w16cid:durableId="189916841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5284"/>
    <w:rsid w:val="00003CD6"/>
    <w:rsid w:val="00086E51"/>
    <w:rsid w:val="000912A3"/>
    <w:rsid w:val="00093C5E"/>
    <w:rsid w:val="001026E2"/>
    <w:rsid w:val="00120982"/>
    <w:rsid w:val="0019044D"/>
    <w:rsid w:val="001A71AE"/>
    <w:rsid w:val="001D39A1"/>
    <w:rsid w:val="001D3BDC"/>
    <w:rsid w:val="00206745"/>
    <w:rsid w:val="002831F3"/>
    <w:rsid w:val="002857C9"/>
    <w:rsid w:val="002A0628"/>
    <w:rsid w:val="002B0B05"/>
    <w:rsid w:val="002F1422"/>
    <w:rsid w:val="002F6AB6"/>
    <w:rsid w:val="00302A54"/>
    <w:rsid w:val="003466F0"/>
    <w:rsid w:val="00353F40"/>
    <w:rsid w:val="003661D5"/>
    <w:rsid w:val="003A0981"/>
    <w:rsid w:val="003A0AA8"/>
    <w:rsid w:val="003B2F58"/>
    <w:rsid w:val="003C10CE"/>
    <w:rsid w:val="003C43F7"/>
    <w:rsid w:val="003E23D1"/>
    <w:rsid w:val="004379F1"/>
    <w:rsid w:val="00490D04"/>
    <w:rsid w:val="004B09FD"/>
    <w:rsid w:val="004B5C38"/>
    <w:rsid w:val="005118E8"/>
    <w:rsid w:val="00544CA9"/>
    <w:rsid w:val="0059239A"/>
    <w:rsid w:val="005A5284"/>
    <w:rsid w:val="005F3D0A"/>
    <w:rsid w:val="0061255E"/>
    <w:rsid w:val="00634DAD"/>
    <w:rsid w:val="00636FF9"/>
    <w:rsid w:val="0068629D"/>
    <w:rsid w:val="006A28CB"/>
    <w:rsid w:val="006E576E"/>
    <w:rsid w:val="0074204E"/>
    <w:rsid w:val="00761A1B"/>
    <w:rsid w:val="00762C5A"/>
    <w:rsid w:val="00765BCE"/>
    <w:rsid w:val="00793DF1"/>
    <w:rsid w:val="007A5492"/>
    <w:rsid w:val="007C648E"/>
    <w:rsid w:val="007E2BC0"/>
    <w:rsid w:val="007E5F7A"/>
    <w:rsid w:val="007F5FCF"/>
    <w:rsid w:val="00805D69"/>
    <w:rsid w:val="00820CF8"/>
    <w:rsid w:val="008E7529"/>
    <w:rsid w:val="00920C13"/>
    <w:rsid w:val="0092151A"/>
    <w:rsid w:val="009474E2"/>
    <w:rsid w:val="009738E1"/>
    <w:rsid w:val="00974554"/>
    <w:rsid w:val="009761D8"/>
    <w:rsid w:val="0099113A"/>
    <w:rsid w:val="009B0B2F"/>
    <w:rsid w:val="009B2C36"/>
    <w:rsid w:val="00A2521B"/>
    <w:rsid w:val="00A6672B"/>
    <w:rsid w:val="00A7138E"/>
    <w:rsid w:val="00AA6D05"/>
    <w:rsid w:val="00B8046C"/>
    <w:rsid w:val="00B91127"/>
    <w:rsid w:val="00BB29A6"/>
    <w:rsid w:val="00BD3960"/>
    <w:rsid w:val="00CD4BA7"/>
    <w:rsid w:val="00CD7C1F"/>
    <w:rsid w:val="00D154A5"/>
    <w:rsid w:val="00D87D55"/>
    <w:rsid w:val="00D93550"/>
    <w:rsid w:val="00D962B3"/>
    <w:rsid w:val="00DB665A"/>
    <w:rsid w:val="00E220A5"/>
    <w:rsid w:val="00E32453"/>
    <w:rsid w:val="00E63812"/>
    <w:rsid w:val="00EC6043"/>
    <w:rsid w:val="00ED0F85"/>
    <w:rsid w:val="00ED4085"/>
    <w:rsid w:val="00EE1FC4"/>
    <w:rsid w:val="00EE2845"/>
    <w:rsid w:val="00EE37BC"/>
    <w:rsid w:val="00EE62FF"/>
    <w:rsid w:val="00FB08CC"/>
    <w:rsid w:val="00FB0B9A"/>
    <w:rsid w:val="00FC74B4"/>
    <w:rsid w:val="00FF7E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797DAE"/>
  <w15:docId w15:val="{BE703138-47CD-4218-9972-3B8E0EC0D8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F2937"/>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FFFFFF"/>
      <w:sz w:val="26"/>
      <w:szCs w:val="26"/>
    </w:rPr>
  </w:style>
  <w:style w:type="paragraph" w:styleId="Heading2">
    <w:name w:val="heading 2"/>
    <w:uiPriority w:val="9"/>
    <w:unhideWhenUsed/>
    <w:qFormat/>
    <w:pPr>
      <w:spacing w:before="240" w:after="80"/>
      <w:outlineLvl w:val="1"/>
    </w:pPr>
    <w:rPr>
      <w:b/>
      <w:bCs/>
      <w:color w:val="0F4B18"/>
      <w:sz w:val="22"/>
      <w:szCs w:val="22"/>
    </w:rPr>
  </w:style>
  <w:style w:type="paragraph" w:styleId="Heading3">
    <w:name w:val="heading 3"/>
    <w:uiPriority w:val="9"/>
    <w:unhideWhenUsed/>
    <w:qFormat/>
    <w:pPr>
      <w:spacing w:before="160" w:after="60"/>
      <w:outlineLvl w:val="2"/>
    </w:pPr>
    <w:rPr>
      <w:b/>
      <w:bCs/>
      <w:color w:val="196B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E63812"/>
    <w:pPr>
      <w:tabs>
        <w:tab w:val="center" w:pos="4680"/>
        <w:tab w:val="right" w:pos="9360"/>
      </w:tabs>
    </w:pPr>
  </w:style>
  <w:style w:type="character" w:customStyle="1" w:styleId="HeaderChar">
    <w:name w:val="Header Char"/>
    <w:basedOn w:val="DefaultParagraphFont"/>
    <w:link w:val="Header"/>
    <w:uiPriority w:val="99"/>
    <w:rsid w:val="00E63812"/>
  </w:style>
  <w:style w:type="paragraph" w:styleId="Footer">
    <w:name w:val="footer"/>
    <w:basedOn w:val="Normal"/>
    <w:link w:val="FooterChar"/>
    <w:uiPriority w:val="99"/>
    <w:unhideWhenUsed/>
    <w:rsid w:val="00E63812"/>
    <w:pPr>
      <w:tabs>
        <w:tab w:val="center" w:pos="4680"/>
        <w:tab w:val="right" w:pos="9360"/>
      </w:tabs>
    </w:pPr>
  </w:style>
  <w:style w:type="character" w:customStyle="1" w:styleId="FooterChar">
    <w:name w:val="Footer Char"/>
    <w:basedOn w:val="DefaultParagraphFont"/>
    <w:link w:val="Footer"/>
    <w:uiPriority w:val="99"/>
    <w:rsid w:val="00E638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12</Pages>
  <Words>205</Words>
  <Characters>1247</Characters>
  <Application>Microsoft Office Word</Application>
  <DocSecurity>0</DocSecurity>
  <Lines>141</Lines>
  <Paragraphs>49</Paragraphs>
  <ScaleCrop>false</ScaleCrop>
  <Company/>
  <LinksUpToDate>false</LinksUpToDate>
  <CharactersWithSpaces>1458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David Ainsworth</cp:lastModifiedBy>
  <cp:revision>24</cp:revision>
  <cp:lastPrinted>2026-03-26T14:15:00Z</cp:lastPrinted>
  <dcterms:created xsi:type="dcterms:W3CDTF">2026-03-27T00:32:00Z</dcterms:created>
  <dcterms:modified xsi:type="dcterms:W3CDTF">2026-04-14T13:25:00Z</dcterms:modified>
</cp:coreProperties>
</file>