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trHeight w:val="1300"/>
        </w:trP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pPr>
              <w:spacing w:before="140" w:after="60"/>
              <w:jc w:val="center"/>
            </w:pPr>
            <w:r>
              <w:rPr>
                <w:b/>
                <w:bCs/>
                <w:color w:val="2E7D32"/>
                <w:sz w:val="29"/>
                <w:szCs w:val="29"/>
              </w:rPr>
              <w:t>PROFESSIONAL FEE PROPOSAL</w:t>
            </w:r>
          </w:p>
          <w:p>
            <w:pPr>
              <w:spacing w:before="0" w:after="80"/>
              <w:jc w:val="center"/>
            </w:pPr>
            <w:r>
              <w:rPr>
                <w:b/>
                <w:bCs/>
                <w:color w:val="1F2937"/>
                <w:sz w:val="37"/>
                <w:szCs w:val="37"/>
              </w:rPr>
              <w:t>1212 Lobdel Avenue — Multi-Unit Affordable Infill Housing</w:t>
            </w:r>
          </w:p>
          <w:p>
            <w:pPr>
              <w:spacing w:before="0" w:after="140"/>
              <w:jc w:val="center"/>
            </w:pPr>
            <w:r>
              <w:rPr>
                <w:color w:val="2E7D32"/>
                <w:sz w:val="24"/>
                <w:szCs w:val="24"/>
              </w:rPr>
              <w:t xml:space="preserve">Wilmington, DE  ·  Predevelopment Intelligence &amp; Architecture Services  ·  April 2026</w:t>
            </w:r>
          </w:p>
        </w:tc>
      </w:tr>
    </w:tbl>
    <w:p>
      <w:pPr>
        <w:spacing w:before="22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Wilmington Housing Authority (WHA)  ·  Wilmington, DE</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Merge 4 Design LLC (M4D)  ·  500 Delaware Ave., Suite 1 #1551, Wilmington, DE 19899  ·  302 367 5726  ·  merge4design.com</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April 2026</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M2_2026_005  ·  1212 Lobdel Avenue</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90 days from submission date</w:t>
            </w:r>
          </w:p>
        </w:tc>
      </w:tr>
    </w:tbl>
    <w:p>
      <w:r>
        <w:br w:type="page"/>
      </w:r>
    </w:p>
    <w:p>
      <w:pPr>
        <w:pStyle w:val="Heading1"/>
        <w:shd w:val="clear" w:color="auto" w:fill="CCCCCC"/>
        <w:spacing w:before="0" w:after="0"/>
      </w:pPr>
      <w:r>
        <w:rPr>
          <w:b/>
          <w:bCs/>
          <w:color w:val="444444"/>
          <w:sz w:val="29"/>
          <w:szCs w:val="29"/>
        </w:rPr>
        <w:t xml:space="preserve">01.  Project Identification</w:t>
      </w:r>
    </w:p>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1212 Lobdel Avenue — Multi-Unit Affordable Infill Housing</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2605130241</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1212 Lobdel Avenue, Wilmington, DE (City of Wilmington limits)</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Wilmington Housing Authority (WHA)</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Lead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Merge 4 Design LLC (M4D)</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City of Wilmington Zoning Ordinance, Chapter 48 — R-3 District</w:t>
            </w:r>
          </w:p>
        </w:tc>
      </w:tr>
      <w:tr>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M4D Project Number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M2_2026_005  ·  April 2026</w:t>
            </w:r>
          </w:p>
        </w:tc>
      </w:tr>
    </w:tbl>
    <w:p>
      <w:r>
        <w:br w:type="page"/>
      </w:r>
    </w:p>
    <w:p>
      <w:pPr>
        <w:pStyle w:val="Heading1"/>
        <w:shd w:val="clear" w:color="auto" w:fill="CCCCCC"/>
        <w:spacing w:before="0" w:after="0"/>
      </w:pPr>
      <w:r>
        <w:rPr>
          <w:b/>
          <w:bCs/>
          <w:color w:val="444444"/>
          <w:sz w:val="29"/>
          <w:szCs w:val="29"/>
        </w:rPr>
        <w:t xml:space="preserve">02.  Project Context &amp; Construction Scenario Overview</w:t>
      </w:r>
    </w:p>
    <w:p>
      <w:pPr>
        <w:spacing w:before="80" w:after="0"/>
      </w:pPr>
    </w:p>
    <w:p>
      <w:pPr>
        <w:spacing w:before="40" w:after="80"/>
      </w:pPr>
      <w:r>
        <w:rPr>
          <w:color w:val="1F2937"/>
          <w:sz w:val="21"/>
          <w:szCs w:val="21"/>
        </w:rPr>
        <w:t>1212 Lobdel Avenue is a 1.39-acre cleared infill site within the City of Wilmington, owned by the Wilmington Housing Authority. The site is zoned R-3 (One-Family Row Houses, Chapter 48) and is targeted for 30+ units of affordable for-sale housing. M4D’s predevelopment analysis evaluated four construction systems and three fee-simple yield configurations to give WHA a full-spectrum cost and quality comparison.</w:t>
      </w:r>
    </w:p>
    <w:p>
      <w:pPr>
        <w:spacing w:before="60" w:after="0"/>
      </w:pPr>
    </w:p>
    <w:p>
      <w:pPr>
        <w:pStyle w:val="Heading2"/>
        <w:spacing w:before="200" w:after="80"/>
      </w:pPr>
      <w:r>
        <w:rPr>
          <w:b/>
          <w:bCs/>
          <w:color w:val="2E7D32"/>
          <w:sz w:val="24"/>
          <w:szCs w:val="24"/>
        </w:rPr>
        <w:t xml:space="preserve">2.1  Construction System Comparison (36-Unit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trPr/>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 xml:space="preserve">Scn A  CLT/SIP-Hybrid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 xml:space="preserve">Scn B  Off-Site Modular</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 xml:space="preserve">Scn C  Stick-Build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 xml:space="preserve">Scn D  Garage-Base / Garden Roof</w:t>
            </w:r>
          </w:p>
        </w:tc>
      </w:tr>
      <w:tr>
        <w:trPr/>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Total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36</w:t>
            </w:r>
          </w:p>
        </w:tc>
      </w:tr>
      <w:tr>
        <w:trPr/>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Unit Configuration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 ft × 35 ft, 3-level
Garage + L2 + L3 + Garden Roof</w:t>
            </w:r>
          </w:p>
        </w:tc>
      </w:tr>
      <w:tr>
        <w:trPr/>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Unit Size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1,890 SF (living)</w:t>
            </w:r>
          </w:p>
        </w:tc>
      </w:tr>
      <w:tr>
        <w:trPr/>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$11,123,852</w:t>
            </w:r>
          </w:p>
        </w:tc>
      </w:tr>
      <w:tr>
        <w:trPr/>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Cost / 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$413,204</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$255,556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$409,198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$308,995</w:t>
            </w:r>
          </w:p>
        </w:tc>
      </w:tr>
      <w:tr>
        <w:trPr/>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Gap vs $215K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~$198K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~$94K</w:t>
            </w:r>
          </w:p>
        </w:tc>
      </w:tr>
      <w:tr>
        <w:trPr/>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Parking Strategy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Private garage per unit</w:t>
            </w:r>
          </w:p>
        </w:tc>
      </w:tr>
      <w:tr>
        <w:trPr/>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Amenity Zone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112.6 ft — full community green</w:t>
            </w:r>
          </w:p>
        </w:tc>
      </w:tr>
    </w:tbl>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pPr>
              <w:spacing w:before="0" w:after="60"/>
            </w:pPr>
            <w:r>
              <w:rPr>
                <w:b/>
                <w:bCs/>
                <w:color w:val="444444"/>
                <w:sz w:val="19"/>
                <w:szCs w:val="19"/>
              </w:rPr>
              <w:t>CLT/SIP-Hybrid — Campus Scenario Context</w:t>
            </w:r>
          </w:p>
          <w:p>
            <w:pPr>
              <w:spacing w:before="0" w:after="0"/>
            </w:pPr>
            <w:r>
              <w:rPr>
                <w:color w:val="555555"/>
                <w:sz w:val="19"/>
                <w:szCs w:val="19"/>
              </w:rPr>
              <w:t>The CLT/SIP-Hybrid scenario (Scenario A) reflects current Mid-Atlantic market conditions including a $8–15/SF freight premium on CLT panels sourced from out-of-region suppliers and a Florida supply chain for AAC party wall panels. The Merge4Ward regional manufacturing campus — currently in early development with Wilmington-area project partners — is designed to eliminate both supply chain constraints. When operational, the campus brings the CLT/SIP-Hybrid cost into near-parity with Scenario B (off-site modular), while delivering a noncombustible, energy-efficient, regionally manufactured building system. WHA’s engagement on this project positions it as the anchor client for the campus’s first production run.</w:t>
            </w:r>
          </w:p>
        </w:tc>
      </w:tr>
    </w:tbl>
    <w:p>
      <w:pPr>
        <w:spacing w:before="80" w:after="0"/>
      </w:pPr>
    </w:p>
    <w:p>
      <w:pPr>
        <w:pStyle w:val="Heading2"/>
        <w:spacing w:before="200" w:after="80"/>
      </w:pPr>
      <w:r>
        <w:rPr>
          <w:b/>
          <w:bCs/>
          <w:color w:val="2E7D32"/>
          <w:sz w:val="24"/>
          <w:szCs w:val="24"/>
        </w:rPr>
        <w:t xml:space="preserve">2.2  Fee-Simple Yield Options  —  WHA Homeownership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160"/>
        <w:gridCol w:w="3240"/>
      </w:tblGrid>
      <w:tr>
        <w:trPr/>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Yield Option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Units</w:t>
            </w:r>
          </w:p>
        </w:tc>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 xml:space="preserve">Total ROM  (Scn B Modular)</w:t>
            </w:r>
          </w:p>
        </w:tc>
        <w:tc>
          <w:tcPr>
            <w:tcW w:w="32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Key Condition</w:t>
            </w:r>
          </w:p>
        </w:tc>
      </w:tr>
      <w:tr>
        <w:trPr/>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Option B — Full independent setbacks
4 E-W rows, N-S facing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36</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$9,254,826
$257,078/unit  ·  gap ~$42K</w:t>
            </w:r>
          </w:p>
        </w:tc>
        <w:tc>
          <w:tcPr>
            <w:tcW w:w="32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Standard recorded plat  ·  No variance required</w:t>
            </w:r>
          </w:p>
        </w:tc>
      </w:tr>
      <w:tr>
        <w:trPr/>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Opt A+FW12 — E-W rows + cross street
33 units: 9 Lobdel-facing + 2×12 E-W</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33</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$8,200,524
$248,501/unit  ·  gap ~$34K</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15 ft rear yard  ·  Cross street as rear boundary  ·  Pre-app confirmation required</w:t>
            </w:r>
          </w:p>
        </w:tc>
      </w:tr>
      <w:tr>
        <w:trPr/>
        <w:tc>
          <w:tcPr>
            <w:tcW w:w="216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20"/>
                <w:szCs w:val="20"/>
              </w:rPr>
              <w:t xml:space="preserve">Option D — Shared drive easements
6 E-W rows, N-S facing units  —  Maximum yield</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20"/>
                <w:szCs w:val="20"/>
              </w:rPr>
              <w:t>54</w:t>
            </w:r>
          </w:p>
        </w:tc>
        <w:tc>
          <w:tcPr>
            <w:tcW w:w="216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20"/>
                <w:szCs w:val="20"/>
              </w:rPr>
              <w:t xml:space="preserve">$12,502,724
$231,532/unit  ·  gap ~$17K</w:t>
            </w:r>
          </w:p>
        </w:tc>
        <w:tc>
          <w:tcPr>
            <w:tcW w:w="324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20"/>
                <w:szCs w:val="20"/>
              </w:rPr>
              <w:t xml:space="preserve">Drive aisles as rear yard easements  ·  HOA required  ·  City rear yard interpretation confirmation required</w:t>
            </w:r>
          </w:p>
        </w:tc>
      </w:tr>
    </w:tbl>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pPr>
              <w:spacing w:before="0" w:after="50"/>
            </w:pPr>
            <w:r>
              <w:rPr>
                <w:b/>
                <w:bCs/>
                <w:color w:val="444444"/>
                <w:sz w:val="19"/>
                <w:szCs w:val="19"/>
              </w:rPr>
              <w:t>Fee-simple lot ownership across all options.</w:t>
            </w:r>
          </w:p>
          <w:p>
            <w:pPr>
              <w:spacing w:before="0" w:after="0"/>
            </w:pPr>
            <w:r>
              <w:rPr>
                <w:color w:val="555555"/>
                <w:sz w:val="19"/>
                <w:szCs w:val="19"/>
              </w:rPr>
              <w:t>All three yield options are structured for fee-simple individual lot ownership with standard deeds — the WHA preference for first-time homebuyer FHA/conventional financing. Options B and D require pre-application confirmation of the rear yard easement interpretation with the City of Wilmington Land Use Division. Option A+FW12 additionally requires confirmation of the 15 ft rear yard and cross street as a valid rear yard boundary. All pre-application questions are identified in the Recommended Next Steps section.</w:t>
            </w:r>
          </w:p>
        </w:tc>
      </w:tr>
    </w:tbl>
    <w:p>
      <w:r>
        <w:br w:type="page"/>
      </w:r>
    </w:p>
    <w:p>
      <w:pPr>
        <w:pStyle w:val="Heading1"/>
        <w:shd w:val="clear" w:color="auto" w:fill="CCCCCC"/>
        <w:spacing w:before="0" w:after="0"/>
      </w:pPr>
      <w:r>
        <w:rPr>
          <w:b/>
          <w:bCs/>
          <w:color w:val="444444"/>
          <w:sz w:val="29"/>
          <w:szCs w:val="29"/>
        </w:rPr>
        <w:t xml:space="preserve">03.  Scope of Services</w:t>
      </w:r>
    </w:p>
    <w:p>
      <w:pPr>
        <w:spacing w:before="80" w:after="0"/>
      </w:pPr>
    </w:p>
    <w:p>
      <w:pPr>
        <w:spacing w:before="40" w:after="80"/>
      </w:pPr>
      <w:r>
        <w:rPr>
          <w:color w:val="1F2937"/>
          <w:sz w:val="21"/>
          <w:szCs w:val="21"/>
        </w:rPr>
        <w:t>M4D proposes services in two tracks. Track A — Predevelopment Intelligence — is authorized and delivered as a standalone fixed-fee engagement. Track B — Architecture &amp; Engineering — is authorized separately upon WHA’s selection of a construction type and yield option.</w:t>
      </w:r>
    </w:p>
    <w:p>
      <w:pPr>
        <w:spacing w:before="80" w:after="0"/>
      </w:pPr>
    </w:p>
    <w:p>
      <w:pPr>
        <w:pStyle w:val="Heading2"/>
        <w:spacing w:before="200" w:after="80"/>
      </w:pPr>
      <w:r>
        <w:rPr>
          <w:b/>
          <w:bCs/>
          <w:color w:val="2E7D32"/>
          <w:sz w:val="24"/>
          <w:szCs w:val="24"/>
        </w:rPr>
        <w:t xml:space="preserve">3.1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080"/>
        <w:gridCol w:w="2400"/>
        <w:gridCol w:w="2400"/>
      </w:tblGrid>
      <w:tr>
        <w:trPr/>
        <w:tc>
          <w:tcPr>
            <w:tcW w:w="4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Item</w:t>
            </w:r>
          </w:p>
        </w:tc>
        <w:tc>
          <w:tcPr>
            <w:tcW w:w="40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Deliverable</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Format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Schedule</w:t>
            </w:r>
          </w:p>
        </w:tc>
      </w:tr>
      <w:tr>
        <w:trPr/>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A1</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Site Assessment — parcel confirmation, governing zoning analysis, applicable code standards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Memo / Data Table</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1</w:t>
            </w:r>
          </w:p>
        </w:tc>
      </w:tr>
      <w:tr>
        <w:trPr/>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A2</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Yield Scenario Analysis — fee-simple lot configurations and unit counts for Options B, A+FW12, and D; regulatory envelope confirmation</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Report + Site Diagrams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1</w:t>
            </w:r>
          </w:p>
        </w:tc>
      </w:tr>
      <w:tr>
        <w:trPr/>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A3</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Type Matrix — four systems (A through D) analyzed across all yield options with cost ranges, per-unit cost, and gap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Matrix Report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1–2</w:t>
            </w:r>
          </w:p>
        </w:tc>
      </w:tr>
      <w:tr>
        <w:trPr/>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A4</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Sustainability Add-Alternate Analysis — geothermal HVAC (shared bore field), community solar PV aisle canopy, and rainwater harvesting; PACE financing and virtual net metering applicability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Analysis Memo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2</w:t>
            </w:r>
          </w:p>
        </w:tc>
      </w:tr>
      <w:tr>
        <w:trPr/>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A5</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3D Site Yield Study &amp; Visualization — massing studies for all yield options; solar access analysis; site plan photorealistic perspectives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3D Visualizations + Site Plan</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2–3</w:t>
            </w:r>
          </w:p>
        </w:tc>
      </w:tr>
      <w:tr>
        <w:trPr/>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A6</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 Presentation Package — yield option comparison, construction cost matrix, sustainability options, and subsidy gap analysis (PPTX + PDF)</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Presentation Deck</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3–4</w:t>
            </w:r>
          </w:p>
        </w:tc>
      </w:tr>
      <w:tr>
        <w:trPr/>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A7</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Subsidy Gap &amp; Grant Program Memo — Delaware Catalyst Fund, HOME, and DSHA program fit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Memo</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3</w:t>
            </w:r>
          </w:p>
        </w:tc>
      </w:tr>
      <w:tr>
        <w:trPr/>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A8</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Gate 0 ROM Lock — cost estimates reconciled and locked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Summary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4</w:t>
            </w:r>
          </w:p>
        </w:tc>
      </w:tr>
    </w:tbl>
    <w:p>
      <w:pPr>
        <w:spacing w:before="100" w:after="0"/>
      </w:pPr>
    </w:p>
    <w:p>
      <w:pPr>
        <w:pStyle w:val="Heading2"/>
        <w:spacing w:before="200" w:after="80"/>
      </w:pPr>
      <w:r>
        <w:rPr>
          <w:b/>
          <w:bCs/>
          <w:color w:val="2E7D32"/>
          <w:sz w:val="24"/>
          <w:szCs w:val="24"/>
        </w:rPr>
        <w:t xml:space="preserve">3.2  Track B — Architecture &amp; Engineering Services (Lump Sum by Phase)</w:t>
      </w:r>
    </w:p>
    <w:p>
      <w:pPr>
        <w:spacing w:before="40" w:after="80"/>
      </w:pPr>
      <w:r>
        <w:rPr>
          <w:color w:val="1F2937"/>
          <w:sz w:val="21"/>
          <w:szCs w:val="21"/>
        </w:rPr>
        <w:t>Track B is authorized separately following WHA’s written selection of yield option and construction type. Fees below based on the 36-unit baseline; Yield Option D (54 units) will be subject to a fee addendum reflecting the additional design scope.</w:t>
      </w:r>
    </w:p>
    <w:p>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trPr/>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Fee</w:t>
            </w:r>
          </w:p>
        </w:tc>
      </w:tr>
      <w:tr>
        <w:trP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Schematic Design (SD) — selected yield option; unit plan types; 3D visualizations; site plan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$11,700</w:t>
            </w:r>
          </w:p>
        </w:tc>
      </w:tr>
      <w:tr>
        <w:trP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Design Development (DD) — system coordination; structural and panel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$17,550</w:t>
            </w:r>
          </w:p>
        </w:tc>
      </w:tr>
      <w:tr>
        <w:trP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Documents (CD) — permit-ready stamped set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$35,100</w:t>
            </w:r>
          </w:p>
        </w:tc>
      </w:tr>
      <w:tr>
        <w:trP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Permitting &amp; AHJ Coordination — City of Wilmington permit submission; plan review response</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$5,250</w:t>
            </w:r>
          </w:p>
        </w:tc>
      </w:tr>
      <w:tr>
        <w:trP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Administration (CA) — site observation; RFI/submittal review; punch list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$9,450</w:t>
            </w:r>
          </w:p>
        </w:tc>
      </w:tr>
      <w:tr>
        <w:trP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Reimbursable Expenses — printing, travel, plots (billed at cost)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~$4,000</w:t>
            </w:r>
          </w:p>
        </w:tc>
      </w:tr>
    </w:tbl>
    <w:p>
      <w:pPr>
        <w:spacing w:before="80" w:after="0"/>
      </w:pPr>
    </w:p>
    <w:p>
      <w:pPr>
        <w:spacing w:before="40" w:after="80"/>
      </w:pPr>
      <w:r>
        <w:rPr>
          <w:color w:val="1F2937"/>
          <w:sz w:val="21"/>
          <w:szCs w:val="21"/>
        </w:rPr>
        <w:t>Subconsultants (Civil Engineer, Structural Engineer, MEP Engineer) are not included in the M4D fee. Budget approximately 12% of construction cost. Subconsultants will be engaged per written authorization from WHA and M4D.</w:t>
      </w:r>
    </w:p>
    <w:p>
      <w:r>
        <w:br w:type="page"/>
      </w:r>
    </w:p>
    <w:p>
      <w:pPr>
        <w:pStyle w:val="Heading1"/>
        <w:shd w:val="clear" w:color="auto" w:fill="CCCCCC"/>
        <w:spacing w:before="0" w:after="0"/>
      </w:pPr>
      <w:r>
        <w:rPr>
          <w:b/>
          <w:bCs/>
          <w:color w:val="444444"/>
          <w:sz w:val="29"/>
          <w:szCs w:val="29"/>
        </w:rPr>
        <w:t xml:space="preserve">04.  Fee Summary</w:t>
      </w:r>
    </w:p>
    <w:p>
      <w:pPr>
        <w:spacing w:before="80" w:after="0"/>
      </w:pPr>
    </w:p>
    <w:p>
      <w:pPr>
        <w:pStyle w:val="Heading2"/>
        <w:spacing w:before="200" w:after="80"/>
      </w:pPr>
      <w:r>
        <w:rPr>
          <w:b/>
          <w:bCs/>
          <w:color w:val="2E7D32"/>
          <w:sz w:val="24"/>
          <w:szCs w:val="24"/>
        </w:rPr>
        <w:t xml:space="preserve">4.1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020"/>
        <w:gridCol w:w="1440"/>
        <w:gridCol w:w="1440"/>
        <w:gridCol w:w="1920"/>
      </w:tblGrid>
      <w:tr>
        <w:trPr/>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Item</w:t>
            </w:r>
          </w:p>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Service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Hrs (Est.)</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Fee</w:t>
            </w:r>
          </w:p>
        </w:tc>
      </w:tr>
      <w:tr>
        <w:trPr/>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A1</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Site Assessment &amp; Zoning Analysis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$3,330</w:t>
            </w:r>
          </w:p>
        </w:tc>
      </w:tr>
      <w:tr>
        <w:trPr/>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A2</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Yield Scenario Analysis + Site Diagrams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24</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$4,440</w:t>
            </w:r>
          </w:p>
        </w:tc>
      </w:tr>
      <w:tr>
        <w:trPr/>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A3</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Type Matrix (4 systems × 3 yield options)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$1,480</w:t>
            </w:r>
          </w:p>
        </w:tc>
      </w:tr>
      <w:tr>
        <w:trPr/>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A4</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Sustainability Add-Alternate Analysis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$1,110</w:t>
            </w:r>
          </w:p>
        </w:tc>
      </w:tr>
      <w:tr>
        <w:trPr/>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A5</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3D Site Yield Study &amp; Visualization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$1,980</w:t>
            </w:r>
          </w:p>
        </w:tc>
      </w:tr>
      <w:tr>
        <w:trPr/>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A6</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 Presentation Package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$165/hr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$1,650</w:t>
            </w:r>
          </w:p>
        </w:tc>
      </w:tr>
      <w:tr>
        <w:trPr/>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A7</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Subsidy Gap &amp; Grant Program Memo</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$1,320</w:t>
            </w:r>
          </w:p>
        </w:tc>
      </w:tr>
      <w:tr>
        <w:trPr/>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A8</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Gate 0 ROM Lock</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5</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$925</w:t>
            </w:r>
          </w:p>
        </w:tc>
      </w:tr>
      <w:tr>
        <w:trPr/>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w:r>
          </w:p>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TRACK A TOTAL — FIXED FEE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91 hrs</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$16,235</w:t>
            </w:r>
          </w:p>
        </w:tc>
      </w:tr>
    </w:tbl>
    <w:p>
      <w:pPr>
        <w:spacing w:before="100" w:after="0"/>
      </w:pPr>
    </w:p>
    <w:p>
      <w:pPr>
        <w:pStyle w:val="Heading2"/>
        <w:spacing w:before="200" w:after="80"/>
      </w:pPr>
      <w:r>
        <w:rPr>
          <w:b/>
          <w:bCs/>
          <w:color w:val="2E7D32"/>
          <w:sz w:val="24"/>
          <w:szCs w:val="24"/>
        </w:rPr>
        <w:t xml:space="preserve">4.2  Track B — Architecture &amp; Engineering (Lump Sum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trPr/>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Fee</w:t>
            </w:r>
          </w:p>
        </w:tc>
      </w:tr>
      <w:tr>
        <w:trP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Schematic Design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$11,700</w:t>
            </w:r>
          </w:p>
        </w:tc>
      </w:tr>
      <w:tr>
        <w:trP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Design Development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$17,550</w:t>
            </w:r>
          </w:p>
        </w:tc>
      </w:tr>
      <w:tr>
        <w:trP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Documents</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$35,100</w:t>
            </w:r>
          </w:p>
        </w:tc>
      </w:tr>
      <w:tr>
        <w:trP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Permitting &amp; AHJ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$5,250</w:t>
            </w:r>
          </w:p>
        </w:tc>
      </w:tr>
      <w:tr>
        <w:trP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Construction Administration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$9,450</w:t>
            </w:r>
          </w:p>
        </w:tc>
      </w:tr>
      <w:tr>
        <w:trP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Reimbursable Expenses</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~$4,000</w:t>
            </w:r>
          </w:p>
        </w:tc>
      </w:tr>
      <w:tr>
        <w:trPr/>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TRACK B SUBTOTAL</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$83,050</w:t>
            </w:r>
          </w:p>
        </w:tc>
      </w:tr>
    </w:tbl>
    <w:p>
      <w:pPr>
        <w:spacing w:before="100" w:after="0"/>
      </w:pPr>
    </w:p>
    <w:p>
      <w:pPr>
        <w:pStyle w:val="Heading2"/>
        <w:spacing w:before="200" w:after="80"/>
      </w:pPr>
      <w:r>
        <w:rPr>
          <w:b/>
          <w:bCs/>
          <w:color w:val="2E7D32"/>
          <w:sz w:val="24"/>
          <w:szCs w:val="24"/>
        </w:rPr>
        <w:t xml:space="preserve">4.3  Combined Fee &amp; Track A Credit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trP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Amount</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Track A — Predevelopment Intelligence (Fixed Fee)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$16,235</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Track B — Architecture &amp; Engineering (Lump Sum by Phase)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$83,050</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Track B — Reimbursable Expenses (estimated)</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~$4,000</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COMBINED TOTAL — TRACKS A + B</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~$103,285</w:t>
            </w:r>
          </w:p>
        </w:tc>
      </w:tr>
      <w:tr>
        <w:trPr/>
        <w:tc>
          <w:tcPr>
            <w:tcW w:w="57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pPr>
              <w:spacing w:before="0" w:after="0"/>
            </w:pPr>
            <w:r>
              <w:rPr>
                <w:b/>
                <w:bCs/>
                <w:color w:val="B8860B"/>
                <w:sz w:val="22"/>
                <w:szCs w:val="22"/>
              </w:rPr>
              <w:t xml:space="preserve">★  TRACK A FEE CREDIT — </w:t>
            </w:r>
            <w:r>
              <w:rPr>
                <w:color w:val="B8860B"/>
                <w:sz w:val="21"/>
                <w:szCs w:val="21"/>
              </w:rPr>
              <w:t>Upon WHA’s written authorization of Track B (full design services through Construction Documents), M4D will credit the full Track A fee of $16,235 against the Track B Phase B1 invoice. This credit reflects M4D’s commitment to a long-term WHA relationship and its confidence in this project proceeding to full design authorization.</w:t>
            </w:r>
          </w:p>
        </w:tc>
        <w:tc>
          <w:tcPr>
            <w:tcW w:w="360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pPr>
              <w:spacing w:before="60" w:after="60"/>
              <w:jc w:val="center"/>
            </w:pPr>
            <w:r>
              <w:rPr>
                <w:b/>
                <w:bCs/>
                <w:color w:val="B8860B"/>
                <w:sz w:val="24"/>
                <w:szCs w:val="24"/>
              </w:rPr>
              <w:t>($16,235)</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2"/>
                <w:szCs w:val="22"/>
              </w:rPr>
              <w:t>NET TOTAL AFTER TRACK A CREDIT (upon Track B authorization)</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center"/>
            </w:pPr>
            <w:r>
              <w:rPr>
                <w:b/>
                <w:bCs/>
                <w:color w:val="2E7D32"/>
                <w:sz w:val="24"/>
                <w:szCs w:val="24"/>
              </w:rPr>
              <w:t>~$87,050</w:t>
            </w:r>
          </w:p>
        </w:tc>
      </w:tr>
    </w:tbl>
    <w:p>
      <w:r>
        <w:br w:type="page"/>
      </w:r>
    </w:p>
    <w:p>
      <w:pPr>
        <w:pStyle w:val="Heading1"/>
        <w:shd w:val="clear" w:color="auto" w:fill="CCCCCC"/>
        <w:spacing w:before="0" w:after="0"/>
      </w:pPr>
      <w:r>
        <w:rPr>
          <w:b/>
          <w:bCs/>
          <w:color w:val="444444"/>
          <w:sz w:val="29"/>
          <w:szCs w:val="29"/>
        </w:rPr>
        <w:t xml:space="preserve">05.  Recommended Next Steps</w:t>
      </w:r>
    </w:p>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5040"/>
        <w:gridCol w:w="1800"/>
        <w:gridCol w:w="1800"/>
      </w:tblGrid>
      <w:tr>
        <w:trPr/>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Action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Lead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Timeline</w:t>
            </w:r>
          </w:p>
        </w:tc>
      </w:tr>
      <w:tr>
        <w:trP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Authorize Track A — Predevelopment Intelligence ($16,235 fixed). Execute M4D PSA M2_2026_005.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 + M4D</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Immediate</w:t>
            </w:r>
          </w:p>
        </w:tc>
      </w:tr>
      <w:tr>
        <w:trP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2</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Request City of Wilmington Land Use pre-application meeting. Agenda: R-3 use confirmation; block face setback average; 10-unit row fire code; Scenario D height compliance (Sec. 48-151); fee-simple lot yield options — rear yard easement interpretation for Option D (shared drive aisles as rear yard), cross street as rear boundary for Option A+FW12, and 15 ft rear yard variance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1</w:t>
            </w:r>
          </w:p>
        </w:tc>
      </w:tr>
      <w:tr>
        <w:trP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Order Phase I Environmental Site Assessment — prior school facility history; possible asbestos, underground tanks, contaminated soil.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1</w:t>
            </w:r>
          </w:p>
        </w:tc>
      </w:tr>
      <w:tr>
        <w:trP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Authorize geotechnical investigation (minimum 4 test borings). Critical for foundation design and geothermal bore field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1–2</w:t>
            </w:r>
          </w:p>
        </w:tc>
      </w:tr>
      <w:tr>
        <w:trP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5</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Confirm WHA homebuyer income targeting (% AMI) and subordinate financing capacity — determines subsidy stack and Catalyst Fund eligibility.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 Finance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2</w:t>
            </w:r>
          </w:p>
        </w:tc>
      </w:tr>
      <w:tr>
        <w:trP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6</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RFI to modular manufacturers: 18 ft wide × 35 ft deep × 2-story, 36–54 units, Mid-Atlantic delivery. Confirm Scenario D podium-set capability.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2</w:t>
            </w:r>
          </w:p>
        </w:tc>
      </w:tr>
      <w:tr>
        <w:trP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7</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Confirm Delaware Catalyst Fund eligibility pathway. Coordinate with DSHA.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2–3</w:t>
            </w:r>
          </w:p>
        </w:tc>
      </w:tr>
      <w:tr>
        <w:trP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8</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Confirm Energize Delaware PACE eligibility for individual fee-simple lots; confirm Delmarva Power virtual net metering participation for HOA subscriber structure.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Week 2–3</w:t>
            </w:r>
          </w:p>
        </w:tc>
      </w:tr>
      <w:tr>
        <w:trP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 presentation — construction type options, yield configurations, ROM comparison, sustainability systems.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Week 4–5</w:t>
            </w:r>
          </w:p>
        </w:tc>
      </w:tr>
      <w:tr>
        <w:trP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10</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 selection of yield option and construction type; written authorization of Track B. Track A credit applied at Phase B1 invoice.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Post-presentation</w:t>
            </w:r>
          </w:p>
        </w:tc>
      </w:tr>
    </w:tbl>
    <w:p>
      <w:r>
        <w:br w:type="page"/>
      </w:r>
    </w:p>
    <w:p>
      <w:pPr>
        <w:pStyle w:val="Heading1"/>
        <w:shd w:val="clear" w:color="auto" w:fill="CCCCCC"/>
        <w:spacing w:before="0" w:after="0"/>
      </w:pPr>
      <w:r>
        <w:rPr>
          <w:b/>
          <w:bCs/>
          <w:color w:val="444444"/>
          <w:sz w:val="29"/>
          <w:szCs w:val="29"/>
        </w:rPr>
        <w:t xml:space="preserve">06.  Authorization — Track A</w:t>
      </w:r>
    </w:p>
    <w:p>
      <w:pPr>
        <w:spacing w:before="80" w:after="0"/>
      </w:pPr>
    </w:p>
    <w:p>
      <w:pPr>
        <w:spacing w:before="40" w:after="80"/>
      </w:pPr>
      <w:r>
        <w:rPr>
          <w:color w:val="1F2937"/>
          <w:sz w:val="21"/>
          <w:szCs w:val="21"/>
        </w:rPr>
        <w:t>To authorize Track A services, please execute this proposal and return a signed copy to M4D. A Professional Services Agreement will be issued upon receipt. Services commence within three (3) business days of executed PSA and receipt of retainer.</w:t>
      </w:r>
    </w:p>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rPr/>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pPr>
              <w:spacing w:before="0" w:after="60"/>
            </w:pPr>
            <w:r>
              <w:rPr>
                <w:b/>
                <w:bCs/>
                <w:color w:val="444444"/>
                <w:sz w:val="21"/>
                <w:szCs w:val="21"/>
              </w:rPr>
              <w:t>Track A Fixed Fee</w:t>
            </w:r>
          </w:p>
          <w:p>
            <w:pPr>
              <w:spacing w:before="0" w:after="60"/>
            </w:pPr>
            <w:r>
              <w:rPr>
                <w:b/>
                <w:bCs/>
                <w:color w:val="2E7D32"/>
                <w:sz w:val="35"/>
                <w:szCs w:val="35"/>
              </w:rPr>
              <w:t>$16,235.00</w:t>
            </w:r>
          </w:p>
          <w:p>
            <w:pPr>
              <w:spacing w:before="0" w:after="0"/>
            </w:pPr>
            <w:r>
              <w:rPr>
                <w:color w:val="888888"/>
                <w:sz w:val="19"/>
                <w:szCs w:val="19"/>
              </w:rPr>
              <w:t>Retainer (50% due upon authorization): $8,116.50</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60"/>
            </w:pPr>
            <w:r>
              <w:rPr>
                <w:color w:val="444444"/>
                <w:sz w:val="21"/>
                <w:szCs w:val="21"/>
              </w:rPr>
              <w:t>Delivery: 4 weeks from written authorization</w:t>
            </w:r>
          </w:p>
          <w:p>
            <w:pPr>
              <w:spacing w:before="0" w:after="60"/>
            </w:pPr>
            <w:r>
              <w:rPr>
                <w:color w:val="444444"/>
                <w:sz w:val="21"/>
                <w:szCs w:val="21"/>
              </w:rPr>
              <w:t>Governing agreement: M4D PSA M2_2026_005-PSA (to be issued)</w:t>
            </w:r>
          </w:p>
          <w:p>
            <w:pPr>
              <w:spacing w:before="0" w:after="0"/>
            </w:pPr>
            <w:r>
              <w:rPr>
                <w:color w:val="444444"/>
                <w:sz w:val="21"/>
                <w:szCs w:val="21"/>
              </w:rPr>
              <w:t>Invoice: Net 15 days</w:t>
            </w:r>
          </w:p>
        </w:tc>
      </w:tr>
    </w:tbl>
    <w:p>
      <w:pPr>
        <w:spacing w:before="12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rPr/>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120"/>
            </w:pPr>
            <w:r>
              <w:rPr>
                <w:b/>
                <w:bCs/>
                <w:color w:val="888888"/>
                <w:sz w:val="19"/>
                <w:szCs w:val="19"/>
              </w:rPr>
              <w:t>AUTHORIZED BY — MERGE 4 DESIGN LLC</w:t>
            </w:r>
          </w:p>
          <w:p>
            <w:pPr>
              <w:spacing w:before="0" w:after="60"/>
            </w:pPr>
            <w:r>
              <w:rPr>
                <w:color w:val="444444"/>
                <w:sz w:val="22"/>
                <w:szCs w:val="22"/>
              </w:rPr>
              <w:t>_______________________________________</w:t>
            </w:r>
          </w:p>
          <w:p>
            <w:pPr>
              <w:spacing w:before="0" w:after="40"/>
            </w:pPr>
            <w:r>
              <w:rPr>
                <w:color w:val="444444"/>
                <w:sz w:val="21"/>
                <w:szCs w:val="21"/>
              </w:rPr>
              <w:t>Trevor Knight, Director of Business Development</w:t>
            </w:r>
          </w:p>
          <w:p>
            <w:pPr>
              <w:spacing w:before="0" w:after="40"/>
            </w:pPr>
            <w:r>
              <w:rPr>
                <w:color w:val="444444"/>
                <w:sz w:val="21"/>
                <w:szCs w:val="21"/>
              </w:rPr>
              <w:t>Merge 4 Design LLC</w:t>
            </w:r>
          </w:p>
          <w:p>
            <w:pPr>
              <w:spacing w:before="0" w:after="80"/>
            </w:pPr>
            <w:r>
              <w:rPr>
                <w:color w:val="444444"/>
                <w:sz w:val="21"/>
                <w:szCs w:val="21"/>
              </w:rPr>
              <w:t>Date: _______________________</w:t>
            </w:r>
          </w:p>
          <w:p>
            <w:pPr>
              <w:spacing w:before="0" w:after="60"/>
            </w:pPr>
            <w:r>
              <w:rPr>
                <w:i/>
                <w:iCs/>
                <w:color w:val="888888"/>
                <w:sz w:val="17"/>
                <w:szCs w:val="17"/>
              </w:rPr>
              <w:t>PRINCIPAL-IN-CHARGE (OPTIONAL CO-SIGNER)</w:t>
            </w:r>
          </w:p>
          <w:p>
            <w:pPr>
              <w:spacing w:before="0" w:after="60"/>
            </w:pPr>
            <w:r>
              <w:rPr>
                <w:color w:val="444444"/>
                <w:sz w:val="22"/>
                <w:szCs w:val="22"/>
              </w:rPr>
              <w:t>_______________________________________</w:t>
            </w:r>
          </w:p>
          <w:p>
            <w:pPr>
              <w:spacing w:before="0" w:after="40"/>
            </w:pPr>
            <w:r>
              <w:rPr>
                <w:color w:val="444444"/>
                <w:sz w:val="21"/>
                <w:szCs w:val="21"/>
              </w:rPr>
              <w:t>David Ainsworth AIA, Principal-in-Charge</w:t>
            </w:r>
          </w:p>
          <w:p>
            <w:pPr>
              <w:spacing w:before="0" w:after="0"/>
            </w:pPr>
            <w:r>
              <w:rPr>
                <w:color w:val="444444"/>
                <w:sz w:val="21"/>
                <w:szCs w:val="21"/>
              </w:rPr>
              <w:t>Date: _______________________</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120"/>
            </w:pPr>
            <w:r>
              <w:rPr>
                <w:b/>
                <w:bCs/>
                <w:color w:val="888888"/>
                <w:sz w:val="19"/>
                <w:szCs w:val="19"/>
              </w:rPr>
              <w:t>AUTHORIZED BY — WILMINGTON HOUSING AUTHORITY</w:t>
            </w:r>
          </w:p>
          <w:p>
            <w:pPr>
              <w:spacing w:before="0" w:after="60"/>
            </w:pPr>
            <w:r>
              <w:rPr>
                <w:color w:val="444444"/>
                <w:sz w:val="22"/>
                <w:szCs w:val="22"/>
              </w:rPr>
              <w:t>_______________________________________</w:t>
            </w:r>
          </w:p>
          <w:p>
            <w:pPr>
              <w:spacing w:before="0" w:after="40"/>
            </w:pPr>
            <w:r>
              <w:rPr>
                <w:color w:val="444444"/>
                <w:sz w:val="21"/>
                <w:szCs w:val="21"/>
              </w:rPr>
              <w:t>Name: _______________________</w:t>
            </w:r>
          </w:p>
          <w:p>
            <w:pPr>
              <w:spacing w:before="0" w:after="40"/>
            </w:pPr>
            <w:r>
              <w:rPr>
                <w:color w:val="444444"/>
                <w:sz w:val="21"/>
                <w:szCs w:val="21"/>
              </w:rPr>
              <w:t>Title: _______________________</w:t>
            </w:r>
          </w:p>
          <w:p>
            <w:pPr>
              <w:spacing w:before="0" w:after="0"/>
            </w:pPr>
            <w:r>
              <w:rPr>
                <w:color w:val="444444"/>
                <w:sz w:val="21"/>
                <w:szCs w:val="21"/>
              </w:rPr>
              <w:t>Date: _______________________</w:t>
            </w:r>
          </w:p>
        </w:tc>
      </w:tr>
    </w:tbl>
    <w:p>
      <w:pPr>
        <w:spacing w:before="160" w:after="0"/>
      </w:pPr>
    </w:p>
    <w:p>
      <w:pPr>
        <w:pBdr>
          <w:top w:val="single" w:sz="6" w:space="1" w:color="CCCCCC"/>
        </w:pBdr>
        <w:spacing w:before="80" w:after="0"/>
      </w:pPr>
      <w:r>
        <w:rPr>
          <w:b/>
          <w:bCs/>
          <w:color w:val="444444"/>
          <w:sz w:val="19"/>
          <w:szCs w:val="19"/>
        </w:rPr>
        <w:t xml:space="preserve">FLAG FOR LEGAL/FINANCIAL REVIEW:  </w:t>
      </w:r>
      <w:r>
        <w:rPr>
          <w:color w:val="888888"/>
          <w:sz w:val="19"/>
          <w:szCs w:val="19"/>
        </w:rPr>
        <w:t>Confirm WHA procurement requirements (DBE/MBE thresholds, HUD Section 3, City of Wilmington local hiring provisions) before contract execution. This proposal does not constitute a contract. ROM figures do not constitute a bid, guarantee, or warranty of construction cost. Professional legal review is recommended prior to execution.</w:t>
      </w:r>
    </w:p>
    <w:p>
      <w:r>
        <w:br w:type="page"/>
      </w:r>
    </w:p>
    <w:p>
      <w:pPr>
        <w:pStyle w:val="Heading1"/>
        <w:shd w:val="clear" w:color="auto" w:fill="CCCCCC"/>
        <w:spacing w:before="0" w:after="0"/>
      </w:pPr>
      <w:r>
        <w:rPr>
          <w:b/>
          <w:bCs/>
          <w:color w:val="444444"/>
          <w:sz w:val="29"/>
          <w:szCs w:val="29"/>
        </w:rPr>
        <w:t xml:space="preserve">07.  Rough Order of Magnitude Cost Analysis — All Four Construction Systems  —  DRAFT</w:t>
      </w:r>
    </w:p>
    <w:p>
      <w:pPr>
        <w:pBdr>
          <w:top w:val="single" w:sz="8" w:space="1" w:color="A32D2D"/>
          <w:bottom w:val="single" w:sz="8" w:space="1" w:color="A32D2D"/>
        </w:pBdr>
        <w:shd w:val="clear" w:color="auto" w:fill="FCEBEB"/>
        <w:spacing w:before="40" w:after="80"/>
        <w:jc w:val="center"/>
      </w:pPr>
      <w:r>
        <w:rPr>
          <w:b/>
          <w:bCs/>
          <w:color w:val="A32D2D"/>
          <w:sz w:val="28"/>
          <w:szCs w:val="28"/>
        </w:rPr>
        <w:t xml:space="preserve">DRAFT — FOR INTERNAL REVIEW ONLY — NOT FOR DISTRIBUTION</w:t>
      </w:r>
    </w:p>
    <w:p>
      <w:pPr>
        <w:shd w:val="clear" w:color="auto" w:fill="FCEBEB"/>
        <w:spacing w:before="0" w:after="80"/>
      </w:pPr>
      <w:r>
        <w:rPr>
          <w:i/>
          <w:iCs/>
          <w:color w:val="888888"/>
          <w:sz w:val="18"/>
          <w:szCs w:val="18"/>
        </w:rPr>
        <w:t xml:space="preserve">Cost figures in this section are Rough Orders of Magnitude for internal planning purposes. These estimates are subject to revision and do not constitute a bid, guarantee, or warranty of construction cost. Final cost analysis will be issued upon WHA’s selection of yield option and construction type.</w:t>
      </w:r>
    </w:p>
    <w:p>
      <w:pPr>
        <w:spacing w:before="80" w:after="0"/>
      </w:pPr>
    </w:p>
    <w:p>
      <w:pPr>
        <w:spacing w:before="40" w:after="80"/>
      </w:pPr>
      <w:r>
        <w:rPr>
          <w:color w:val="1F2937"/>
          <w:sz w:val="21"/>
          <w:szCs w:val="21"/>
        </w:rPr>
        <w:t>The following cost estimates are Rough Orders of Magnitude (ROM) based on available site information, current regional labor and material market conditions, and M4D’s predevelopment cost analysis. These figures do not constitute a bid, guarantee, or warranty of construction cost. All values are subject to revision upon receipt of Phase I ESA, geotechnical data, confirmed zoning compliance, and construction type selection.</w:t>
      </w:r>
    </w:p>
    <w:p>
      <w:pPr>
        <w:spacing w:before="60" w:after="0"/>
      </w:pPr>
    </w:p>
    <w:p>
      <w:pPr>
        <w:spacing w:before="40" w:after="80"/>
      </w:pPr>
      <w:r>
        <w:rPr>
          <w:color w:val="1F2937"/>
          <w:sz w:val="21"/>
          <w:szCs w:val="21"/>
        </w:rPr>
        <w:t>ROM breakdowns below are presented across three unit-count scenarios: Scenario I (36 units), Scenario II (40 units), and Scenario III (24 units). For yield options exceeding 36 units (Options A+FW12 and D), cost scaling is addressed in Section 7.5 Master Comparison Matrix.</w:t>
      </w:r>
    </w:p>
    <w:p>
      <w:pPr>
        <w:spacing w:before="80" w:after="0"/>
      </w:pPr>
    </w:p>
    <w:p>
      <w:pPr>
        <w:pStyle w:val="Heading2"/>
        <w:spacing w:before="200" w:after="80"/>
      </w:pPr>
      <w:r>
        <w:rPr>
          <w:b/>
          <w:bCs/>
          <w:color w:val="2E7D32"/>
          <w:sz w:val="24"/>
          <w:szCs w:val="24"/>
        </w:rPr>
        <w:t xml:space="preserve">7.1  Scenario A — CLT/SIP-Hybrid</w:t>
      </w:r>
    </w:p>
    <w:p>
      <w:pPr>
        <w:spacing w:before="40" w:after="80"/>
      </w:pPr>
      <w:r>
        <w:rPr>
          <w:i/>
          <w:iCs/>
          <w:color w:val="888888"/>
          <w:sz w:val="19"/>
          <w:szCs w:val="19"/>
        </w:rPr>
        <w:t>*Cross-laminated timber structural panels + structurally insulated envelope panels. Off-site panel fabrication; on-site erection. Current Mid-Atlantic freight premium applies ($8–15/SF). Cost position improves materially when regional manufacturing supply chain is established.</w:t>
      </w:r>
    </w:p>
    <w:p>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III — 24 Units</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36,480 SF</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$288,000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Foundations (CLT-spec bearing,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$1,179,360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$1,164,800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$948,480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CLT Structural Panels (supply + freight premium)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$2,630,880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$2,598,400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$2,115,840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SIP Envelope Panels (ext walls + roof)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$729,600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Erection Crew + Crane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$240,000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Rough-in MEP</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$1,360,800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$1,344,000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$1,094,400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$1,905,120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$1,881,600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$1,531,360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Doors, Windows, Hardware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$270,000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$180,000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Appliances Allowance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$96,000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Site Utilities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$306,000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$204,000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$175,000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$162,000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$180,000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$108,000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$9,857,360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$9,944,800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$7,710,680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General Conditions (10%)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$985,736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$994,480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$771,068</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OH&amp;P / GC Fee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$868,648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$875,942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$679,341</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Design Contingency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$937,580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$945,458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$733,449</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Soft Costs — Arch, Eng, Permits, Testing (12%)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$1,517,678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$1,530,742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$1,187,447</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$708,350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$714,571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$554,099</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SCENARIO A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$15,005,993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$11,635,084</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$413,204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$375,150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$484,795</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~$198K/unit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~$160K/unit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~$270K/unit</w:t>
            </w:r>
          </w:p>
        </w:tc>
      </w:tr>
    </w:tbl>
    <w:p>
      <w:pPr>
        <w:spacing w:before="80" w:after="0"/>
      </w:pPr>
    </w:p>
    <w:p>
      <w:r>
        <w:br w:type="page"/>
      </w:r>
    </w:p>
    <w:p>
      <w:pPr>
        <w:pStyle w:val="Heading2"/>
        <w:spacing w:before="200" w:after="80"/>
      </w:pPr>
      <w:r>
        <w:rPr>
          <w:b/>
          <w:bCs/>
          <w:color w:val="2E7D32"/>
          <w:sz w:val="24"/>
          <w:szCs w:val="24"/>
        </w:rPr>
        <w:t xml:space="preserve">3.2  Scenario B — Off-Site Modular</w:t>
      </w:r>
    </w:p>
    <w:p>
      <w:pPr>
        <w:spacing w:before="40" w:after="80"/>
      </w:pPr>
      <w:r>
        <w:rPr>
          <w:i/>
          <w:iCs/>
          <w:color w:val="888888"/>
          <w:sz w:val="19"/>
          <w:szCs w:val="19"/>
        </w:rPr>
        <w:t>*Factory-built volumetric modules, crane-set on-site. Fastest schedule, highest quality control, lowest subsidy gap among the four systems in current market conditions.</w:t>
      </w:r>
    </w:p>
    <w:p>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III — 24 Units</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36,480 SF</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$288,000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Foundations (modular-spec slab/piers)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$656,640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Modular Factory Units (factory-complete, MEP rough-in incl.)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$3,009,600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$3,344,000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$2,016,000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Freight + Set (crane, transport)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$600,000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$360,000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Site MEP Tie-Ins + Utility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$204,000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Exterior Finish Completion (siding, roofing, trim)</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$726,000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$716,800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$583,680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Interior Finish Completion (punch-out items)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$234,000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$156,000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$175,000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$108,000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$6,426,080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$6,927,200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$4,547,320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General Conditions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$514,086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$554,176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$363,786</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OH&amp;P / GC Fee (6%)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$416,770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$449,483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$294,968</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Design Contingency (6%)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$441,776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$476,452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$312,606</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Soft Costs — Arch, Eng, Permits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$963,217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$1,038,759</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$681,321</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$438,097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$472,303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$309,700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SCENARIO B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$9,918,373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$6,509,701</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$255,556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$247,959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$271,238</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~$41K/unit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~$33K/unit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~$56K/unit</w:t>
            </w:r>
          </w:p>
        </w:tc>
      </w:tr>
    </w:tbl>
    <w:p>
      <w:pPr>
        <w:spacing w:before="80" w:after="0"/>
      </w:pPr>
    </w:p>
    <w:p>
      <w:r>
        <w:br w:type="page"/>
      </w:r>
    </w:p>
    <w:p>
      <w:pPr>
        <w:pStyle w:val="Heading2"/>
        <w:spacing w:before="200" w:after="80"/>
      </w:pPr>
      <w:r>
        <w:rPr>
          <w:b/>
          <w:bCs/>
          <w:color w:val="2E7D32"/>
          <w:sz w:val="24"/>
          <w:szCs w:val="24"/>
        </w:rPr>
        <w:t xml:space="preserve">3.3  Scenario C — Conventional Stick-Build</w:t>
      </w:r>
    </w:p>
    <w:p>
      <w:pPr>
        <w:spacing w:before="40" w:after="80"/>
      </w:pPr>
      <w:r>
        <w:rPr>
          <w:i/>
          <w:iCs/>
          <w:color w:val="888888"/>
          <w:sz w:val="19"/>
          <w:szCs w:val="19"/>
        </w:rPr>
        <w:t>*Traditional wood-frame construction. Highest local GC availability; longest schedule; highest labor content. Retained as baseline benchmark for grant applications requiring conventional cost comparison.</w:t>
      </w:r>
    </w:p>
    <w:p>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Scn III — 24 Units</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36,480 SF</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$288,000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Foundations (slab-on-grade,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$656,640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Framing Lumber + Labor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$1,276,800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Sheathing + Insulation + Weather Barrier</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$589,680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$582,400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$474,240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Roofing</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$363,480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$358,400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$291,840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Exterior Finish (fiber cement + brick base)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$729,600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Rough MEP</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$1,276,800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Insulation + Drywall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$635,040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$627,200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$510,720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$1,724,688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$1,702,880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$1,386,240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Doors, Hardware, Appliances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$414,000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$460,000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$252,000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Site Utilities +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$204,000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$175,000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$108,000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$9,725,768</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$9,769,280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$7,630,080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General Conditions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$972,577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$976,928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$763,008</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OH&amp;P / GC Fee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$855,868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$859,697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$671,847</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Design Contingency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$1,055,421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$1,060,591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$826,694</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Soft Costs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$1,448,578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$1,455,011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$1,134,194</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$672,911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$676,076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$527,292</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SCENARIO C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$14,797,583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$11,553,115</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$409,198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$369,939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$481,380</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~$194K/unit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~$155K/unit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~$266K/unit</w:t>
            </w:r>
          </w:p>
        </w:tc>
      </w:tr>
    </w:tbl>
    <w:p>
      <w:pPr>
        <w:spacing w:before="80" w:after="0"/>
      </w:pPr>
    </w:p>
    <w:p>
      <w:r>
        <w:br w:type="page"/>
      </w:r>
    </w:p>
    <w:p>
      <w:pPr>
        <w:pStyle w:val="Heading2"/>
        <w:spacing w:before="200" w:after="80"/>
      </w:pPr>
      <w:r>
        <w:rPr>
          <w:b/>
          <w:bCs/>
          <w:color w:val="2E7D32"/>
          <w:sz w:val="24"/>
          <w:szCs w:val="24"/>
        </w:rPr>
        <w:t xml:space="preserve">3.4  Scenario D — Garage-Base / Garden Roof Townhouse (36 Units)</w:t>
      </w:r>
    </w:p>
    <w:p>
      <w:pPr>
        <w:spacing w:before="40" w:after="80"/>
      </w:pPr>
      <w:r>
        <w:rPr>
          <w:i/>
          <w:iCs/>
          <w:color w:val="888888"/>
          <w:sz w:val="19"/>
          <w:szCs w:val="19"/>
        </w:rPr>
        <w:t>*Scenario D: Level 1 CMU/light steel garage on slab-on-grade. Levels 2–3 off-site modular living stack. Roof: usable garden/green roof deck. Living program 1,890 SF per unit (3BR/2.5BA). Private garage per unit; amenity zone reprogrammed as full community green. Height compliance with Chapter 48 Sec. 48-151 (35 ft max) to be confirmed at City pre-application meeting.</w:t>
      </w:r>
    </w:p>
    <w:p>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trP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Line Item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Scenario I — 36 Units</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Living GFA (L2 + L3, 2-story modular stack)</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 xml:space="preserve">68,040 SF  (36 × 1,890 SF)</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Garage GFA (L1, CMU/steel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 xml:space="preserve">22,680 SF  (36 × 630 SF)</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Sitework / Civil</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$432,000</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Foundations —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$756,000</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Garage Level Shell — CMU/light steel, 36 units @ $22,000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$792,000</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Modular Factory Units — L2+L3 living stack, MEP rough-in incl.</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$3,009,600</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Freight + Set — crane lift over garage podium</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$580,000</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Site MEP Tie-Ins + Utility Connections</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$306,000</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Exterior Finish Completion — 3-level facade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$780,000</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Interior Finish Completion + Module-to-Garage Interface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$280,000</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Garden Roof Deck — usable, structural, waterproofed, 36 units @ $24,000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$864,000</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Amenity Zone / Community Green (visitor parking only)</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$120,000</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Landscaping / Fencing / Unit Walks</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$200,000</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General Conditions (8%)</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$649,568</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OH&amp;P / GC Fee (6%)</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$487,176</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Design Contingency (6%)</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$487,176</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Soft Costs — Arch, Eng, Permits (12%)</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$974,352</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Owner Contingency (5%)</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$405,980</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SCENARIO D — TOTAL ROM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$11,123,852</w:t>
            </w:r>
          </w:p>
        </w:tc>
      </w:tr>
      <w:tr>
        <w:trP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Cost Per Unit</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$308,995</w:t>
            </w:r>
          </w:p>
        </w:tc>
      </w:tr>
      <w:tr>
        <w:trP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Gap vs $215K Target</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 xml:space="preserve">~$94K/unit  ·  ~$3,383,820 total</w:t>
            </w:r>
          </w:p>
        </w:tc>
      </w:tr>
    </w:tbl>
    <w:p>
      <w:pPr>
        <w:spacing w:before="80" w:after="0"/>
      </w:pPr>
    </w:p>
    <w:p>
      <w:pPr>
        <w:pStyle w:val="Heading2"/>
        <w:spacing w:before="200" w:after="80"/>
      </w:pPr>
      <w:r>
        <w:rPr>
          <w:b/>
          <w:bCs/>
          <w:color w:val="2E7D32"/>
          <w:sz w:val="24"/>
          <w:szCs w:val="24"/>
        </w:rPr>
        <w:t xml:space="preserve">3.5  Master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
        <w:gridCol w:w="1800"/>
        <w:gridCol w:w="1440"/>
        <w:gridCol w:w="1200"/>
        <w:gridCol w:w="1800"/>
      </w:tblGrid>
      <w:tr>
        <w:trPr/>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Scenario / Yield Option</w:t>
            </w:r>
          </w:p>
        </w:tc>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Total ROM</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$/Unit</w:t>
            </w:r>
          </w:p>
        </w:tc>
        <w:tc>
          <w:tcPr>
            <w:tcW w:w="12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Gap/Unit</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Rating</w:t>
            </w:r>
          </w:p>
        </w:tc>
      </w:tr>
      <w:tr>
        <w:trPr/>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A — CLT/SIP-Hybrid (36 units)</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$14,875,352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$413,204</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~$198K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C</w:t>
            </w:r>
          </w:p>
        </w:tc>
      </w:tr>
      <w:tr>
        <w:trPr/>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B — Off-Site Modular (36 units)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$9,200,026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$255,556</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A+</w:t>
            </w:r>
          </w:p>
        </w:tc>
      </w:tr>
      <w:tr>
        <w:trPr/>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C — Stick-Build (36 units)</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$14,731,123</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$409,198</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~$194K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C</w:t>
            </w:r>
          </w:p>
        </w:tc>
      </w:tr>
      <w:tr>
        <w:trPr/>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D — Garage-Base / Garden Roof (36 units)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$11,123,852</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$308,995</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B</w:t>
            </w:r>
          </w:p>
        </w:tc>
      </w:tr>
      <w:tr>
        <w:trPr/>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B — Off-Site Modular (40 units, Scn II)</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$9,918,373</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$247,959</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~$33K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A++</w:t>
            </w:r>
          </w:p>
        </w:tc>
      </w:tr>
      <w:tr>
        <w:trPr/>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B — Off-Site Modular (24 units, Scn III)</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$6,509,701</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$271,238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~$56K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B</w:t>
            </w:r>
          </w:p>
        </w:tc>
      </w:tr>
      <w:tr>
        <w:trPr/>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 FEE-SIMPLE YIELD OPTIONS (modular construction) ―</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
            </w:r>
          </w:p>
        </w:tc>
      </w:tr>
      <w:tr>
        <w:trPr/>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Yield Opt B — 36 units, full indep. setbacks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$9,254,826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$257,078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~$42K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A+</w:t>
            </w:r>
          </w:p>
        </w:tc>
      </w:tr>
      <w:tr>
        <w:trPr/>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Yield Opt A+FW12 — 33 units, cross street + fire wall</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$8,200,524</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$248,501</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~$34K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A</w:t>
            </w:r>
          </w:p>
        </w:tc>
      </w:tr>
      <w:tr>
        <w:trPr/>
        <w:tc>
          <w:tcPr>
            <w:tcW w:w="24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19"/>
                <w:szCs w:val="19"/>
              </w:rPr>
              <w:t xml:space="preserve">Yield Opt D — 54 units, shared easements  ★ Max yield</w:t>
            </w:r>
          </w:p>
        </w:tc>
        <w:tc>
          <w:tcPr>
            <w:tcW w:w="72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19"/>
                <w:szCs w:val="19"/>
              </w:rPr>
              <w:t>54</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19"/>
                <w:szCs w:val="19"/>
              </w:rPr>
              <w:t>$12,502,724</w:t>
            </w:r>
          </w:p>
        </w:tc>
        <w:tc>
          <w:tcPr>
            <w:tcW w:w="144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19"/>
                <w:szCs w:val="19"/>
              </w:rPr>
              <w:t>$231,532</w:t>
            </w:r>
          </w:p>
        </w:tc>
        <w:tc>
          <w:tcPr>
            <w:tcW w:w="12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19"/>
                <w:szCs w:val="19"/>
              </w:rPr>
              <w:t>~$17K</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pPr>
              <w:spacing w:before="0" w:after="0"/>
            </w:pPr>
            <w:r>
              <w:rPr>
                <w:b/>
                <w:bCs/>
                <w:color w:val="B8860B"/>
                <w:sz w:val="19"/>
                <w:szCs w:val="19"/>
              </w:rPr>
              <w:t>A++</w:t>
            </w:r>
          </w:p>
        </w:tc>
      </w:tr>
    </w:tbl>
    <w:p>
      <w:pPr>
        <w:spacing w:before="80" w:after="0"/>
      </w:pPr>
    </w:p>
    <w:p>
      <w:pPr>
        <w:spacing w:before="40" w:after="80"/>
      </w:pPr>
      <w:r>
        <w:rPr>
          <w:i/>
          <w:iCs/>
          <w:color w:val="888888"/>
          <w:sz w:val="18"/>
          <w:szCs w:val="18"/>
        </w:rPr>
        <w:t>Rating methodology: A++ = gap closeable with Delaware Catalyst Fund alone ($35K/unit × 54 = $1.89M available vs ~$917K needed); A+ = Catalyst Fund covers ~70%; A = Catalyst Fund + modest HOME supplement; B = layered subsidy required; C = extraordinary subsidy; D = not viable under current financing structure.</w:t>
      </w:r>
    </w:p>
    <w:p>
      <w:pPr>
        <w:spacing w:before="80" w:after="0"/>
      </w:pPr>
    </w:p>
    <w:p>
      <w:pPr>
        <w:pStyle w:val="Heading2"/>
        <w:spacing w:before="200" w:after="80"/>
      </w:pPr>
      <w:r>
        <w:rPr>
          <w:b/>
          <w:bCs/>
          <w:color w:val="2E7D32"/>
          <w:sz w:val="24"/>
          <w:szCs w:val="24"/>
        </w:rPr>
        <w:t xml:space="preserve">3.6  Sustainability Systems Add-Alternate</w:t>
      </w:r>
    </w:p>
    <w:p>
      <w:pPr>
        <w:spacing w:before="40" w:after="80"/>
      </w:pPr>
      <w:r>
        <w:rPr>
          <w:color w:val="1F2937"/>
          <w:sz w:val="21"/>
          <w:szCs w:val="21"/>
        </w:rPr>
        <w:t>The following systems are available as add-alternates to any construction scenario and yield option. All costs and savings are indexed to the 54-unit fee-simple yield (Option D) and scaled for other options in the table below. All three systems are designed to be installed under private drive aisles or unit rooftops with no impact on lot boundaries or amenity zones.</w:t>
      </w:r>
    </w:p>
    <w:p>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trPr/>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System</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Total Cost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Per Unit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Key Feature</w:t>
            </w:r>
          </w:p>
        </w:tc>
      </w:tr>
      <w:tr>
        <w:trPr/>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Geothermal HVAC — shared bore field (37 bores, drilled under drive aisles)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$672,217</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$12,448/unit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4.4-yr simple payback  ·  $75/unit/mo energy savings  ·  PACE eligible</w:t>
            </w:r>
          </w:p>
        </w:tc>
      </w:tr>
      <w:tr>
        <w:trPr/>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Community Solar PV — aisle canopy (191 kW, 267,120 kWh/yr, 66% of community energy)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$599,040 gross
$419,328 net after 30% ITC</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$7,765/unit (net)</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Virtual net metering  ·  $58/unit/mo savings  ·  Covered parking</w:t>
            </w:r>
          </w:p>
        </w:tc>
      </w:tr>
      <w:tr>
        <w:trPr/>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Rainwater Harvesting — 6,000-gal underground cistern, irrigation only</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$26,820</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$497/unit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Stormwater management credit  ·  Enterprise Green Communities points</w:t>
            </w:r>
          </w:p>
        </w:tc>
      </w:tr>
    </w:tbl>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700"/>
        <w:gridCol w:w="2700"/>
      </w:tblGrid>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HOA Shared Maintenance Fee</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Annual</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Monthly / Unit</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Geothermal loop (pump, glycol, controls)</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$2,400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$3.70</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Solar PV (inverters, monitoring, cleaning)</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$3,200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$4.94</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Rainwater system (pump, filters, inspection)</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$1,200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$1.85</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Drive aisle maintenance (seal coat, snow removal)</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$4,000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$6.17</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Landscaping + irrigation</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$8,500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$13.12</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Shared insurance</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$3,600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$5.56</w:t>
            </w:r>
          </w:p>
        </w:tc>
      </w:tr>
      <w:tr>
        <w:trPr/>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Reserve fund (10%) + management</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$4,690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$7.24</w:t>
            </w:r>
          </w:p>
        </w:tc>
      </w:tr>
      <w:tr>
        <w:trPr/>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TOTAL HOA BUDGET</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$27,590/yr</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$43/unit/mo</w:t>
            </w:r>
          </w:p>
        </w:tc>
      </w:tr>
    </w:tbl>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trPr/>
        <w:tc>
          <w:tcPr>
            <w:tcW w:w="46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Monthly Cash Flow per Unit (all 3 systems)</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Out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19"/>
                <w:szCs w:val="19"/>
              </w:rPr>
              <w:t>Savings</w:t>
            </w:r>
          </w:p>
        </w:tc>
      </w:tr>
      <w:tr>
        <w:trPr/>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PACE payment — geothermal premium (20yr, 5.5%)</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$28/mo</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w:t>
            </w:r>
          </w:p>
        </w:tc>
      </w:tr>
      <w:tr>
        <w:trPr/>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PACE payment — solar net of 30% ITC (20yr, 5.5%)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$54/mo</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w:t>
            </w:r>
          </w:p>
        </w:tc>
      </w:tr>
      <w:tr>
        <w:trPr/>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HOA monthly fee (all shared systems)</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$43/mo</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w:t>
            </w:r>
          </w:p>
        </w:tc>
      </w:tr>
      <w:tr>
        <w:trPr/>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Energy savings — geothermal</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$75/mo</w:t>
            </w:r>
          </w:p>
        </w:tc>
      </w:tr>
      <w:tr>
        <w:trPr/>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Solar net metering credits (Delmarva Power)</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19"/>
                <w:szCs w:val="19"/>
              </w:rPr>
              <w:t>$58/mo</w:t>
            </w:r>
          </w:p>
        </w:tc>
      </w:tr>
      <w:tr>
        <w:trPr/>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Water savings — irrigation</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19"/>
                <w:szCs w:val="19"/>
              </w:rPr>
              <w:t>$1/mo</w:t>
            </w:r>
          </w:p>
        </w:tc>
      </w:tr>
      <w:tr>
        <w:trPr/>
        <w:tc>
          <w:tcPr>
            <w:tcW w:w="46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NET MONTHLY PER UNIT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$125/mo total out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$134/mo total savings</w:t>
            </w:r>
          </w:p>
        </w:tc>
      </w:tr>
    </w:tbl>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tc>
          <w:tcPr>
            <w:tcW w:w="93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pPr>
              <w:spacing w:before="0" w:after="0"/>
            </w:pPr>
            <w:r>
              <w:rPr>
                <w:b/>
                <w:bCs/>
                <w:color w:val="B8860B"/>
                <w:sz w:val="22"/>
                <w:szCs w:val="22"/>
              </w:rPr>
              <w:t xml:space="preserve">★  Savings exceed cost on day one: </w:t>
            </w:r>
            <w:r>
              <w:rPr>
                <w:color w:val="B8860B"/>
                <w:sz w:val="21"/>
                <w:szCs w:val="21"/>
              </w:rPr>
              <w:t xml:space="preserve">+$9/unit/month net  —  energy and solar savings outpace PACE payments and HOA fee from day one. At 80% AMI (~$68K/yr household income), total PITI + HOA = $1,652/mo, qualifying for FHA financing without income limitation.</w:t>
            </w:r>
          </w:p>
        </w:tc>
      </w:tr>
    </w:tbl>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i/>
                <w:iCs/>
                <w:color w:val="555555"/>
                <w:sz w:val="18"/>
                <w:szCs w:val="18"/>
              </w:rPr>
              <w:t>Sustainability system costs indexed to 54-unit yield. Scale factors: geo costs scale with units; solar canopy and rainwater system are largely fixed to the site. HOA fee reduces to ~$45/unit/mo at 36 units. Refer to the M4D Sustainability Add-Alternate Analysis (Deliverable A4) for full system specifications, PACE structure, and Delaware virtual net metering confirmation process.</w:t>
            </w:r>
          </w:p>
        </w:tc>
      </w:tr>
    </w:tbl>
    <w:p>
      <w:pPr>
        <w:spacing w:before="80" w:after="40"/>
      </w:pPr>
      <w:r>
        <w:rPr>
          <w:color w:val="854F0B"/>
          <w:sz w:val="19"/>
          <w:szCs w:val="19"/>
        </w:rPr>
        <w:t xml:space="preserve">⚠  Confirm with Energize Delaware that PACE attaches to individual fee-simple lots.</w:t>
      </w:r>
    </w:p>
    <w:p>
      <w:pPr>
        <w:spacing w:before="0" w:after="40"/>
      </w:pPr>
      <w:r>
        <w:rPr>
          <w:color w:val="854F0B"/>
          <w:sz w:val="19"/>
          <w:szCs w:val="19"/>
        </w:rPr>
        <w:t xml:space="preserve">⚠  Confirm Delmarva Power participation in virtual net metering for HOA subscriber structure.</w:t>
      </w:r>
    </w:p>
    <w:p>
      <w:pPr>
        <w:spacing w:before="0" w:after="80"/>
      </w:pPr>
      <w:r>
        <w:rPr>
          <w:color w:val="854F0B"/>
          <w:sz w:val="19"/>
          <w:szCs w:val="19"/>
        </w:rPr>
        <w:t xml:space="preserve">⚠  HOA covenant must address geothermal loop access rights, solar canopy maintenance, and aisle easement language. Attorney review required before plat recording.</w:t>
      </w:r>
    </w:p>
    <w:sectPr w:rsidR="00800724"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B3039" w14:textId="77777777" w:rsidR="00D7285E" w:rsidRDefault="00D7285E">
      <w:r>
        <w:separator/>
      </w:r>
    </w:p>
  </w:endnote>
  <w:endnote w:type="continuationSeparator" w:id="0">
    <w:p w14:paraId="32F26C23" w14:textId="77777777" w:rsidR="00D7285E" w:rsidRDefault="00D7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7A95459F" w14:textId="77777777" w:rsidR="001E11F9" w:rsidRDefault="001E11F9" w:rsidP="00793DF1">
            <w:pPr>
              <w:pStyle w:val="Footer"/>
            </w:pPr>
          </w:p>
          <w:p w14:paraId="4B9CCBDD" w14:textId="77777777"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5945B4BA"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B1733" w14:textId="77777777" w:rsidR="00D7285E" w:rsidRDefault="00D7285E">
      <w:r>
        <w:separator/>
      </w:r>
    </w:p>
  </w:footnote>
  <w:footnote w:type="continuationSeparator" w:id="0">
    <w:p w14:paraId="1733BBE7" w14:textId="77777777" w:rsidR="00D7285E" w:rsidRDefault="00D72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4273"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5272E761" w14:textId="77777777"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1D235785" w14:textId="77777777" w:rsidR="004073D4" w:rsidRPr="001E11F9" w:rsidRDefault="004073D4" w:rsidP="004073D4">
    <w:pPr>
      <w:ind w:left="720" w:firstLine="720"/>
      <w:rPr>
        <w:color w:val="374151"/>
        <w:sz w:val="12"/>
        <w:szCs w:val="12"/>
      </w:rPr>
    </w:pPr>
  </w:p>
  <w:p w14:paraId="6FE156A4" w14:textId="77777777" w:rsidR="004073D4" w:rsidRDefault="00820CF8" w:rsidP="004073D4">
    <w:pPr>
      <w:ind w:left="720" w:firstLine="720"/>
      <w:rPr>
        <w:color w:val="374151"/>
        <w:sz w:val="16"/>
        <w:szCs w:val="16"/>
      </w:rPr>
    </w:pPr>
    <w:r>
      <w:rPr>
        <w:color w:val="374151"/>
        <w:sz w:val="16"/>
        <w:szCs w:val="16"/>
      </w:rPr>
      <w:t xml:space="preserve">500 Delaware Ave., Suite 1 #1551, </w:t>
    </w:r>
  </w:p>
  <w:p w14:paraId="32C5BCCD" w14:textId="7777777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66E8DB9D" w14:textId="77777777" w:rsidR="008F56B5" w:rsidRPr="004073D4" w:rsidRDefault="008F56B5" w:rsidP="004073D4">
    <w:pPr>
      <w:ind w:left="720" w:firstLine="720"/>
      <w:rPr>
        <w:color w:val="888888"/>
        <w:spacing w:val="40"/>
        <w:sz w:val="17"/>
        <w:szCs w:val="17"/>
      </w:rP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0" w:hanging="2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C10CE"/>
    <w:rsid w:val="003C43F7"/>
    <w:rsid w:val="003E23D1"/>
    <w:rsid w:val="004073D4"/>
    <w:rsid w:val="004379F1"/>
    <w:rsid w:val="00490D04"/>
    <w:rsid w:val="004A7D00"/>
    <w:rsid w:val="004B09FD"/>
    <w:rsid w:val="004B5C38"/>
    <w:rsid w:val="00500276"/>
    <w:rsid w:val="005118E8"/>
    <w:rsid w:val="00544CA9"/>
    <w:rsid w:val="0059239A"/>
    <w:rsid w:val="005A5284"/>
    <w:rsid w:val="005F3D0A"/>
    <w:rsid w:val="0061255E"/>
    <w:rsid w:val="00620546"/>
    <w:rsid w:val="00634DAD"/>
    <w:rsid w:val="00636FF9"/>
    <w:rsid w:val="006522DD"/>
    <w:rsid w:val="0068629D"/>
    <w:rsid w:val="006940FE"/>
    <w:rsid w:val="006A28CB"/>
    <w:rsid w:val="006E576E"/>
    <w:rsid w:val="0074204E"/>
    <w:rsid w:val="00761A1B"/>
    <w:rsid w:val="00762C5A"/>
    <w:rsid w:val="00765BCE"/>
    <w:rsid w:val="00793DF1"/>
    <w:rsid w:val="007A5492"/>
    <w:rsid w:val="007C648E"/>
    <w:rsid w:val="007E2BC0"/>
    <w:rsid w:val="007E5F7A"/>
    <w:rsid w:val="007F5FCF"/>
    <w:rsid w:val="00800724"/>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B77D3A"/>
    <w:rsid w:val="00B8046C"/>
    <w:rsid w:val="00B91127"/>
    <w:rsid w:val="00BB29A6"/>
    <w:rsid w:val="00BD3960"/>
    <w:rsid w:val="00C90332"/>
    <w:rsid w:val="00CC74EA"/>
    <w:rsid w:val="00CD4BA7"/>
    <w:rsid w:val="00CD7C1F"/>
    <w:rsid w:val="00D154A5"/>
    <w:rsid w:val="00D46E82"/>
    <w:rsid w:val="00D7285E"/>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1C404"/>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16</Pages>
  <Words>2823</Words>
  <Characters>16548</Characters>
  <Application>Microsoft Office Word</Application>
  <DocSecurity>0</DocSecurity>
  <Lines>973</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4</cp:revision>
  <cp:lastPrinted>2026-03-26T14:15:00Z</cp:lastPrinted>
  <dcterms:created xsi:type="dcterms:W3CDTF">2026-04-15T13:05:00Z</dcterms:created>
  <dcterms:modified xsi:type="dcterms:W3CDTF">2026-04-16T02:44:00Z</dcterms:modified>
</cp:coreProperties>
</file>