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3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rPr>
          <w:trHeight w:val="1200"/>
        </w:trPr>
        <w:tc>
          <w:tcPr>
            <w:tcW w:w="9360" w:type="dxa"/>
            <w:tcBorders>
              <w:top w:val="none" w:sz="0" w:space="0" w:color="FFFFFF"/>
              <w:left w:val="none" w:sz="0" w:space="0" w:color="FFFFFF"/>
              <w:bottom w:val="none" w:sz="0" w:space="0" w:color="FFFFFF"/>
              <w:right w:val="none" w:sz="0" w:space="0" w:color="FFFFFF"/>
            </w:tcBorders>
            <w:shd w:val="clear" w:color="auto" w:fill="CCCCCC"/>
            <w:tcMar>
              <w:top w:w="160" w:type="dxa"/>
              <w:left w:w="180" w:type="dxa"/>
              <w:bottom w:w="160" w:type="dxa"/>
              <w:right w:w="180" w:type="dxa"/>
            </w:tcMar>
          </w:tcPr>
          <w:p>
            <w:pPr>
              <w:spacing w:before="120" w:after="60"/>
              <w:jc w:val="center"/>
            </w:pPr>
            <w:r>
              <w:rPr>
                <w:b/>
                <w:bCs/>
                <w:color w:val="2E7D32"/>
                <w:sz w:val="26"/>
                <w:szCs w:val="26"/>
              </w:rPr>
              <w:t>COMPARABLE PROJECTS &amp; IMAGE LIBRARY</w:t>
            </w:r>
          </w:p>
          <w:p>
            <w:pPr>
              <w:spacing w:before="0" w:after="80"/>
              <w:jc w:val="center"/>
            </w:pPr>
            <w:r>
              <w:rPr>
                <w:b/>
                <w:bCs/>
                <w:color w:val="1F2937"/>
                <w:sz w:val="33"/>
                <w:szCs w:val="33"/>
              </w:rPr>
              <w:t>1212 Lobdel Avenue — Four Construction Scenario Reference</w:t>
            </w:r>
          </w:p>
          <w:p>
            <w:pPr>
              <w:spacing w:before="0" w:after="120"/>
              <w:jc w:val="center"/>
            </w:pPr>
            <w:r>
              <w:rPr>
                <w:color w:val="2E7D32"/>
                <w:sz w:val="22"/>
                <w:szCs w:val="22"/>
              </w:rPr>
              <w:t xml:space="preserve">Internal Reference Document  ·  M4D / WHA Predevelopment  ·  April 2026</w:t>
            </w:r>
          </w:p>
        </w:tc>
      </w:tr>
    </w:tbl>
    <w:p>
      <w:pPr>
        <w:spacing w:before="20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Project</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1212 Lobdel Avenue — Multi-Unit Affordable Infill Housing</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Purpose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Comparable project research + look-and-feel image library for WHA presentation and team reference</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Scenarios Covered</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A: CLT/SIP-Hybrid  ·  B: Off-Site Modular  ·  C: Stick-Build  ·  D: Garage-Base / Garden Roof</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Image Search Date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April 2026</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Status</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Internal  —  Do Not Distribute</w:t>
            </w:r>
          </w:p>
        </w:tc>
      </w:tr>
    </w:tbl>
    <w:p>
      <w:r>
        <w:br w:type="page"/>
      </w:r>
    </w:p>
    <w:p>
      <w:pPr>
        <w:pStyle w:val="Heading1"/>
        <w:shd w:val="clear" w:color="auto" w:fill="CCCCCC"/>
        <w:spacing w:before="0" w:after="0"/>
      </w:pPr>
      <w:r>
        <w:rPr>
          <w:b/>
          <w:bCs/>
          <w:color w:val="444444"/>
          <w:sz w:val="29"/>
          <w:szCs w:val="29"/>
        </w:rPr>
        <w:t>Scenario A — CLT/SIP-Hybrid: Comparable Projects</w:t>
      </w:r>
    </w:p>
    <w:p>
      <w:pPr>
        <w:spacing w:before="80" w:after="0"/>
      </w:pPr>
    </w:p>
    <w:p>
      <w:pPr>
        <w:spacing w:before="0" w:after="80"/>
      </w:pPr>
      <w:r>
        <w:rPr>
          <w:color w:val="1F2937"/>
          <w:sz w:val="22"/>
          <w:szCs w:val="22"/>
        </w:rPr>
        <w:t>The CLT/SIP-Hybrid scenario combines cross-laminated timber structural panels with structurally insulated panels for the building envelope. The following projects represent the strongest public precedents for this construction type at affordable housing scale in the US. None are exact matches to the Lobdel typology (row houses, 2-story, 36 units), but each validates a critical aspect of the system.</w:t>
      </w:r>
    </w:p>
    <w:p>
      <w:pPr>
        <w:spacing w:before="80" w:after="0"/>
      </w:pPr>
    </w:p>
    <w:p>
      <w:pPr>
        <w:pStyle w:val="Heading2"/>
        <w:spacing w:before="200" w:after="80"/>
      </w:pPr>
      <w:r>
        <w:rPr>
          <w:b/>
          <w:bCs/>
          <w:color w:val="2E7D32"/>
          <w:sz w:val="24"/>
          <w:szCs w:val="24"/>
        </w:rPr>
        <w:t xml:space="preserve">A.1  Chiles House — Portland, 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Project</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Chiles House</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Location</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Southeast Portland, OR</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Developer</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East Bay Asian Local Development Corp. / Abode</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Architect / System</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CLT decks with stick-framed walls; WoodWorks Innovation Network</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Scale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27 affordable housing units  ·  4-story + ground-floor retail</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Distinction</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First affordable housing development to use CLT in Portland. Exposed mass timber interior.</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Relevance to Lobdel</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Validates CLT at affordable housing scale and community-benefit ownership structure. Unit count comparable (27 vs 36).</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Source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woodworksinnovationnetwork.org/projects/chiles-house</w:t>
            </w:r>
          </w:p>
        </w:tc>
      </w:tr>
    </w:tbl>
    <w:p>
      <w:pPr>
        <w:spacing w:before="80" w:after="0"/>
      </w:pPr>
    </w:p>
    <w:p>
      <w:pPr>
        <w:pStyle w:val="Heading2"/>
        <w:spacing w:before="200" w:after="80"/>
      </w:pPr>
      <w:r>
        <w:rPr>
          <w:b/>
          <w:bCs/>
          <w:color w:val="2E7D32"/>
          <w:sz w:val="24"/>
          <w:szCs w:val="24"/>
        </w:rPr>
        <w:t xml:space="preserve">A.2  Model-C at 201 Hampden — Lower Roxbury, Boston, 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Project</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Model-C Demonstration / 201 Hampden</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Location</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Lower Roxbury, Boston, MA</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Developer / Design</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Generate + Placetailor (MIT spin-out)</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System</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Full CLT building (walls, floors, roof)  ·  Passive House certified  ·  5 stories</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Scale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14 residential units + ground-floor co-working</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Distinction</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Boston’s first full CLT building. All project calculations released publicly as open-source precedent.</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Relevance to Lobdel</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Urban infill, residential focus, multifamily CLT at community scale. Demonstrates permitting pathway in a code-conservative East Coast jurisdiction.</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Source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thinkwood.com/construction-projects/clt-passive-house-demonstration-project</w:t>
            </w:r>
          </w:p>
        </w:tc>
      </w:tr>
    </w:tbl>
    <w:p>
      <w:pPr>
        <w:spacing w:before="80" w:after="0"/>
      </w:pPr>
    </w:p>
    <w:p>
      <w:pPr>
        <w:pStyle w:val="Heading2"/>
        <w:spacing w:before="200" w:after="80"/>
      </w:pPr>
      <w:r>
        <w:rPr>
          <w:b/>
          <w:bCs/>
          <w:color w:val="2E7D32"/>
          <w:sz w:val="24"/>
          <w:szCs w:val="24"/>
        </w:rPr>
        <w:t xml:space="preserve">A.3  Green Canopy NODE CLT Modular — Spokane, WA / Seattle, 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Project</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Green Canopy NODE CLT Modular Prototype + 17-Unit Habitat for Humanity Partnership</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Location</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Spokane, WA (prototype)  ·  Seattle, WA (17-unit affordable)</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Developer / Design</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Green Canopy NODE</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System</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Volumetric CLT modules  ·  2 stories  ·  1,200 SF  ·  rooftop deck on prototype</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Scale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Prototype (1 unit)  ·  17-unit affordable multifamily (Habitat partnership)</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Price Point</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80% AMI income targeting on 17-unit project</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Distinction</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First all-CLT volumetric modular prototype in the US. Interior CLT left exposed — eliminates drywall. Prototype includes rooftop deck (direct Scenario D parallel).</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Relevance to Lobdel</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Proves CLT + modular combination at residential scale. Rooftop deck on CLT structure is precedent for Scenario D.</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Source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offsitebuilder.com/high-efficiency-clt-modular-homes  ·  forterra.org</w:t>
            </w:r>
          </w:p>
        </w:tc>
      </w:tr>
    </w:tbl>
    <w:p>
      <w:pPr>
        <w:spacing w:before="80" w:after="0"/>
      </w:pPr>
    </w:p>
    <w:p>
      <w:pPr>
        <w:pStyle w:val="Heading2"/>
        <w:spacing w:before="200" w:after="80"/>
      </w:pPr>
      <w:r>
        <w:rPr>
          <w:b/>
          <w:bCs/>
          <w:color w:val="2E7D32"/>
          <w:sz w:val="24"/>
          <w:szCs w:val="24"/>
        </w:rPr>
        <w:t xml:space="preserve">A.4  Mass Timber Affordable Housing — Connecticut (WoodWorks)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Project</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Multiple CLT/mass timber affordable housing projects, Connecticut</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Source / Curator</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WoodWorks — Wood Products Council</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System</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Various mass timber configurations  ·  CLT floors/roofs on light-frame walls</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Distinction</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Northeast US jurisdiction. Demonstrates permitting, cost, and code compliance in a regulatory environment comparable to Delaware.</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Relevance to Lobdel</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Closest geographic and regulatory parallel to Wilmington (Northeast, state-level affordable housing programs, IBC code environment).</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Source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woodworks.org/resources/mass-timber-in-affordable-multi-family-housing</w:t>
            </w:r>
          </w:p>
        </w:tc>
      </w:tr>
    </w:tbl>
    <w:p>
      <w:pPr>
        <w:spacing w:before="80" w:after="0"/>
      </w:pPr>
    </w:p>
    <w:p>
      <w:pPr>
        <w:spacing w:before="160" w:after="60"/>
      </w:pPr>
      <w:r>
        <w:rPr>
          <w:b/>
          <w:bCs/>
          <w:color w:val="2E7D32"/>
          <w:sz w:val="22"/>
          <w:szCs w:val="22"/>
        </w:rPr>
        <w:t>Image Library Directions — Scenario A (CLT/SIP-Hybrid)</w:t>
      </w:r>
    </w:p>
    <w:p>
      <w:pPr>
        <w:spacing w:before="40" w:after="80"/>
      </w:pPr>
      <w:r>
        <w:rPr>
          <w:color w:val="1F2937"/>
          <w:sz w:val="22"/>
          <w:szCs w:val="22"/>
        </w:rPr>
        <w:t>Search and download images from the following sources for the WHA presentation and M4D project look-and-feel library. All images should be confirmed as rights-available for internal use before inclusion in any client deliverable.</w:t>
      </w:r>
    </w:p>
    <w:p>
      <w:pPr>
        <w:spacing w:before="40" w:after="0"/>
      </w:pPr>
    </w:p>
    <w:p>
      <w:pPr>
        <w:numPr>
          <w:ilvl w:val="0"/>
          <w:numId w:val="1"/>
        </w:numPr>
        <w:spacing w:before="40" w:after="40"/>
      </w:pPr>
      <w:r>
        <w:rPr>
          <w:color w:val="1F2937"/>
          <w:sz w:val="22"/>
          <w:szCs w:val="22"/>
        </w:rPr>
        <w:t>Chiles House, Portland — Search: “Chiles House Portland CLT affordable housing” · Source: woodworksinnovationnetwork.org</w:t>
      </w:r>
    </w:p>
    <w:p>
      <w:pPr>
        <w:numPr>
          <w:ilvl w:val="0"/>
          <w:numId w:val="1"/>
        </w:numPr>
        <w:spacing w:before="40" w:after="40"/>
      </w:pPr>
      <w:r>
        <w:rPr>
          <w:color w:val="1F2937"/>
          <w:sz w:val="22"/>
          <w:szCs w:val="22"/>
        </w:rPr>
        <w:t>Model-C at 201 Hampden — Search: “Model-C 201 Hampden Boston CLT Passive House” · Source: thinkwood.com / Generate / Placetailor</w:t>
      </w:r>
    </w:p>
    <w:p>
      <w:pPr>
        <w:numPr>
          <w:ilvl w:val="0"/>
          <w:numId w:val="1"/>
        </w:numPr>
        <w:spacing w:before="40" w:after="40"/>
      </w:pPr>
      <w:r>
        <w:rPr>
          <w:color w:val="1F2937"/>
          <w:sz w:val="22"/>
          <w:szCs w:val="22"/>
        </w:rPr>
        <w:t>Green Canopy NODE Spokane prototype — Search: “Green Canopy NODE CLT modular Spokane rooftop” · Source: offsitebuilder.com</w:t>
      </w:r>
    </w:p>
    <w:p>
      <w:pPr>
        <w:numPr>
          <w:ilvl w:val="0"/>
          <w:numId w:val="1"/>
        </w:numPr>
        <w:spacing w:before="40" w:after="40"/>
      </w:pPr>
      <w:r>
        <w:rPr>
          <w:color w:val="1F2937"/>
          <w:sz w:val="22"/>
          <w:szCs w:val="22"/>
        </w:rPr>
        <w:t>WoodWorks mass timber affordable housing (Connecticut) — Source: woodworks.org project gallery</w:t>
      </w:r>
    </w:p>
    <w:p>
      <w:pPr>
        <w:numPr>
          <w:ilvl w:val="0"/>
          <w:numId w:val="1"/>
        </w:numPr>
        <w:spacing w:before="40" w:after="40"/>
      </w:pPr>
      <w:r>
        <w:rPr>
          <w:color w:val="1F2937"/>
          <w:sz w:val="22"/>
          <w:szCs w:val="22"/>
        </w:rPr>
        <w:t>CLT panel erection / crane sequence — Search: “CLT panel erection affordable housing crane sequence” · Think Wood library: thinkwood.com/resources/image-library</w:t>
      </w:r>
    </w:p>
    <w:p>
      <w:pPr>
        <w:numPr>
          <w:ilvl w:val="0"/>
          <w:numId w:val="1"/>
        </w:numPr>
        <w:spacing w:before="40" w:after="40"/>
      </w:pPr>
      <w:r>
        <w:rPr>
          <w:color w:val="1F2937"/>
          <w:sz w:val="22"/>
          <w:szCs w:val="22"/>
        </w:rPr>
        <w:t>Exposed CLT interior — Search: “exposed CLT interior residential affordable” · Source: Kalesnikoff project gallery (kalesnikoff.com/projects)</w:t>
      </w:r>
    </w:p>
    <w:p>
      <w:r>
        <w:br w:type="page"/>
      </w:r>
    </w:p>
    <w:p>
      <w:pPr>
        <w:pStyle w:val="Heading1"/>
        <w:shd w:val="clear" w:color="auto" w:fill="CCCCCC"/>
        <w:spacing w:before="0" w:after="0"/>
      </w:pPr>
      <w:r>
        <w:rPr>
          <w:b/>
          <w:bCs/>
          <w:color w:val="444444"/>
          <w:sz w:val="29"/>
          <w:szCs w:val="29"/>
        </w:rPr>
        <w:t>Scenario B — Off-Site Modular: Comparable Projects</w:t>
      </w:r>
    </w:p>
    <w:p>
      <w:pPr>
        <w:spacing w:before="80" w:after="0"/>
      </w:pPr>
    </w:p>
    <w:p>
      <w:pPr>
        <w:spacing w:before="40" w:after="80"/>
      </w:pPr>
      <w:r>
        <w:rPr>
          <w:color w:val="1F2937"/>
          <w:sz w:val="22"/>
          <w:szCs w:val="22"/>
        </w:rPr>
        <w:t>The off-site modular scenario is the strongest financial performer in the current market (Scenario I/B: $255K/unit, ~$41K gap). The following projects are the most direct precedents at affordable for-sale row house / townhouse scale.</w:t>
      </w:r>
    </w:p>
    <w:p>
      <w:pPr>
        <w:spacing w:before="80" w:after="0"/>
      </w:pPr>
    </w:p>
    <w:p>
      <w:pPr>
        <w:pStyle w:val="Heading2"/>
        <w:spacing w:before="200" w:after="80"/>
      </w:pPr>
      <w:r>
        <w:rPr>
          <w:b/>
          <w:bCs/>
          <w:color w:val="2E7D32"/>
          <w:sz w:val="24"/>
          <w:szCs w:val="24"/>
        </w:rPr>
        <w:t xml:space="preserve">B.1  Harrison Row Townhomes — East Garfield Park, Chicago, IL  ★ Primary Precedent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Project</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Harrison Row Townhomes — Phase 2</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Location</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Harrison St &amp; Francisco Ave, East Garfield Park, Chicago, IL</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Developer</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Structured Development + Fain’s LLC (Black-owned local developer)</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Modular Manufacturer</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Kinexx Modular Construction — factory on South Kildare Ave, Chicago</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Scale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33 new three-bedroom townhomes  ·  28 units built modular (7 duplex pairs)</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Unit Size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~1,600 SF  ·  3BR/1.5BA</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Price Point</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$245,000  ·  Up to 120% AMI  ·  Chicago Community Land Trust</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Timeline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90 days factory to installation per home  ·  Phase 1: 7 units  ·  Phase 2: 33 units</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Distinction</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First modular townhouse at this scale in Chicago. ULI 2024 Americas Awards for Excellence finalist. Chicago Housing Commissioner: “quick and nimble.” Indistinguishable from traditional construction from street.</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Parallel to Lobdel</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Closest national match: affordable for-sale modular row/townhouses, city-agency land, 120% AMI targeting, multi-row infill on cleared urban site. Kinexx modules are 8–12 ft wide; Lobdel units are 18 ft wide — manufacturer briefing needed on width.</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Source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chicagobusiness.com  ·  blockclubchicago.org  ·  kinexxmodularconstruction.com</w:t>
            </w:r>
          </w:p>
        </w:tc>
      </w:tr>
    </w:tbl>
    <w:p>
      <w:pPr>
        <w:spacing w:before="80" w:after="0"/>
      </w:pPr>
    </w:p>
    <w:p>
      <w:pPr>
        <w:pStyle w:val="Heading2"/>
        <w:spacing w:before="200" w:after="80"/>
      </w:pPr>
      <w:r>
        <w:rPr>
          <w:b/>
          <w:bCs/>
          <w:color w:val="2E7D32"/>
          <w:sz w:val="24"/>
          <w:szCs w:val="24"/>
        </w:rPr>
        <w:t xml:space="preserve">B.2  Simplex Homes Mid-Atlantic Modular Townhouse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Project</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Simplex Homes modular townhouse, duplex, and triplex program</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Location</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Mid-Atlantic / Northeast: VA, WV, MD, PA, NJ, NY, MA, NH, ME</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Manufacturer</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Simplex Homes — Dupont, PA (nearest Mid-Atlantic modular plant to Wilmington)</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Product Types</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Ranch, 2-story, cape, townhouse, duplex, triplex, campus housing, light commercial</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Relevance to Lobdel</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Pennsylvania-based manufacturer — within 500-mile factory-to-site radius for Wilmington. Confirmed townhouse and duplex product lines. Active in affordable housing (teacher, nurse, state employee buyer programs). NEPA Land Bank Mod-Home Initiative.</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Note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Contact for RFI: 18 ft wide × 35 ft deep × 2-story unit. Confirm availability for 36-unit order, Mid-Atlantic delivery, and lead time.</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Source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simplexhomes.com</w:t>
            </w:r>
          </w:p>
        </w:tc>
      </w:tr>
    </w:tbl>
    <w:p>
      <w:pPr>
        <w:spacing w:before="80" w:after="0"/>
      </w:pPr>
    </w:p>
    <w:p>
      <w:pPr>
        <w:pStyle w:val="Heading2"/>
        <w:spacing w:before="200" w:after="80"/>
      </w:pPr>
      <w:r>
        <w:rPr>
          <w:b/>
          <w:bCs/>
          <w:color w:val="2E7D32"/>
          <w:sz w:val="24"/>
          <w:szCs w:val="24"/>
        </w:rPr>
        <w:t xml:space="preserve">B.3  ProCon — Mid-Atlantic Modular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Project</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ProCon modular construction — residential and affordable housing, Mid-Atlantic</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Location</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Mid-Atlantic region</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Note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Listed in M4Di ROM analysis as the best-in-class Mid-Atlantic modular precedent for the Lobdel project. Direct RFI recommended as part of Track A deliverables.</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Relevance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Regional supply chain match. 200-mile freight range from Wilmington.</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Action Item</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RFI: 18 ft × 35 ft × 2-story, 36-unit order, Mid-Atlantic delivery and crane set.</w:t>
            </w:r>
          </w:p>
        </w:tc>
      </w:tr>
    </w:tbl>
    <w:p>
      <w:pPr>
        <w:spacing w:before="80" w:after="0"/>
      </w:pPr>
    </w:p>
    <w:p>
      <w:pPr>
        <w:pStyle w:val="Heading2"/>
        <w:spacing w:before="200" w:after="80"/>
      </w:pPr>
      <w:r>
        <w:rPr>
          <w:b/>
          <w:bCs/>
          <w:color w:val="2E7D32"/>
          <w:sz w:val="24"/>
          <w:szCs w:val="24"/>
        </w:rPr>
        <w:t xml:space="preserve">B.4  Module (Pittsburgh, PA) — Fannie Mae Sustainable Communities Winner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Project</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Module modular micro-factory — affordable housing in Pittsburgh and expansion</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Location</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Pittsburgh, PA  ·  Expansion target: Prince George’s County MD + Richmond VA</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Partnership</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Enterprise Community Partners  ·  Fannie Mae Sustainable Communities Innovation Challenge winner (2023)</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Focus</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Energy-efficient affordable housing in urban communities of color  ·  “Last Mile Network” micro-factory model</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Relevance to Lobdel</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Pittsburgh to Wilmington is within 400 miles. Minority community focus aligns with WHA mission. Enterprise Community Partners is already in M4Di’s grant stack (Wells Fargo application). A Module relationship has strategic value beyond Lobdel.</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Source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americanprogress.org · Enterprise Community Partners</w:t>
            </w:r>
          </w:p>
        </w:tc>
      </w:tr>
    </w:tbl>
    <w:p>
      <w:pPr>
        <w:spacing w:before="80" w:after="0"/>
      </w:pPr>
    </w:p>
    <w:p>
      <w:pPr>
        <w:spacing w:before="160" w:after="60"/>
      </w:pPr>
      <w:r>
        <w:rPr>
          <w:b/>
          <w:bCs/>
          <w:color w:val="2E7D32"/>
          <w:sz w:val="22"/>
          <w:szCs w:val="22"/>
        </w:rPr>
        <w:t>Image Library Directions — Scenario B (Off-Site Modular)</w:t>
      </w:r>
    </w:p>
    <w:p>
      <w:pPr>
        <w:numPr>
          <w:ilvl w:val="0"/>
          <w:numId w:val="1"/>
        </w:numPr>
        <w:spacing w:before="40" w:after="40"/>
      </w:pPr>
      <w:r>
        <w:rPr>
          <w:color w:val="1F2937"/>
          <w:sz w:val="22"/>
          <w:szCs w:val="22"/>
        </w:rPr>
        <w:t>Harrison Row Townhomes exterior — Search: “Harrison Row Townhomes Chicago modular Kinexx” · Source: kinexxmodularconstruction.com / chicagoyimby.com</w:t>
      </w:r>
    </w:p>
    <w:p>
      <w:pPr>
        <w:numPr>
          <w:ilvl w:val="0"/>
          <w:numId w:val="1"/>
        </w:numPr>
        <w:spacing w:before="40" w:after="40"/>
      </w:pPr>
      <w:r>
        <w:rPr>
          <w:color w:val="1F2937"/>
          <w:sz w:val="22"/>
          <w:szCs w:val="22"/>
        </w:rPr>
        <w:t>Harrison Row module assembly and crane-set sequence — Source: Structured Development press release images (rejournals.com / blockclubchicago.org)</w:t>
      </w:r>
    </w:p>
    <w:p>
      <w:pPr>
        <w:numPr>
          <w:ilvl w:val="0"/>
          <w:numId w:val="1"/>
        </w:numPr>
        <w:spacing w:before="40" w:after="40"/>
      </w:pPr>
      <w:r>
        <w:rPr>
          <w:color w:val="1F2937"/>
          <w:sz w:val="22"/>
          <w:szCs w:val="22"/>
        </w:rPr>
        <w:t>Kinexx factory assembly line — Search: “Kinexx modular factory South Kildare Chicago” · Source: Crain’s Chicago Business</w:t>
      </w:r>
    </w:p>
    <w:p>
      <w:pPr>
        <w:numPr>
          <w:ilvl w:val="0"/>
          <w:numId w:val="1"/>
        </w:numPr>
        <w:spacing w:before="40" w:after="40"/>
      </w:pPr>
      <w:r>
        <w:rPr>
          <w:color w:val="1F2937"/>
          <w:sz w:val="22"/>
          <w:szCs w:val="22"/>
        </w:rPr>
        <w:t>Simplex Homes townhouse/duplex exterior — Source: simplexhomes.com gallery</w:t>
      </w:r>
    </w:p>
    <w:p>
      <w:pPr>
        <w:numPr>
          <w:ilvl w:val="0"/>
          <w:numId w:val="1"/>
        </w:numPr>
        <w:spacing w:before="40" w:after="40"/>
      </w:pPr>
      <w:r>
        <w:rPr>
          <w:color w:val="1F2937"/>
          <w:sz w:val="22"/>
          <w:szCs w:val="22"/>
        </w:rPr>
        <w:t>Module Pittsburgh modular affordable exterior — Source: modulehomes.co</w:t>
      </w:r>
    </w:p>
    <w:p>
      <w:pPr>
        <w:numPr>
          <w:ilvl w:val="0"/>
          <w:numId w:val="1"/>
        </w:numPr>
        <w:spacing w:before="40" w:after="40"/>
      </w:pPr>
      <w:r>
        <w:rPr>
          <w:color w:val="1F2937"/>
          <w:sz w:val="22"/>
          <w:szCs w:val="22"/>
        </w:rPr>
        <w:t>Modular townhouse street-level finished product — Search: “modular townhouse row house urban affordable completed 2023”</w:t>
      </w:r>
    </w:p>
    <w:p>
      <w:r>
        <w:br w:type="page"/>
      </w:r>
    </w:p>
    <w:p>
      <w:pPr>
        <w:pStyle w:val="Heading1"/>
        <w:shd w:val="clear" w:color="auto" w:fill="CCCCCC"/>
        <w:spacing w:before="0" w:after="0"/>
      </w:pPr>
      <w:r>
        <w:rPr>
          <w:b/>
          <w:bCs/>
          <w:color w:val="444444"/>
          <w:sz w:val="29"/>
          <w:szCs w:val="29"/>
        </w:rPr>
        <w:t>Scenario C — Conventional Stick-Build: Comparable Projects</w:t>
      </w:r>
    </w:p>
    <w:p>
      <w:pPr>
        <w:spacing w:before="80" w:after="0"/>
      </w:pPr>
    </w:p>
    <w:p>
      <w:pPr>
        <w:spacing w:before="40" w:after="80"/>
      </w:pPr>
      <w:r>
        <w:rPr>
          <w:color w:val="1F2937"/>
          <w:sz w:val="22"/>
          <w:szCs w:val="22"/>
        </w:rPr>
        <w:t>Stick-frame construction is the incumbent method for affordable row house development in Wilmington and across the Mid-Atlantic. The following projects are representative of the quality level and typology most directly comparable to Lobdel in the current local market. Scenario C is retained in the ROM as the baseline comparison; M4D does not recommend it as the preferred path given the cost and gap analysis.</w:t>
      </w:r>
    </w:p>
    <w:p>
      <w:pPr>
        <w:spacing w:before="80" w:after="0"/>
      </w:pPr>
    </w:p>
    <w:p>
      <w:pPr>
        <w:pStyle w:val="Heading2"/>
        <w:spacing w:before="200" w:after="80"/>
      </w:pPr>
      <w:r>
        <w:rPr>
          <w:b/>
          <w:bCs/>
          <w:color w:val="2E7D32"/>
          <w:sz w:val="24"/>
          <w:szCs w:val="24"/>
        </w:rPr>
        <w:t xml:space="preserve">C.1  Home City Development — 33 Townhomes for Sale, Springfield, 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Project</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33 for-sale townhomes, South End Springfield</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Developer</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Home City Development, Inc. (HCDI)</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Location</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South End, Springfield, MA</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System</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Conventional construction  ·  City of Springfield designated developer</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Scale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33 townhomes for sale  ·  First-time low and moderate-income buyers</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Relevance to Lobdel</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Near-exact program match: city-designated developer, cleared urban site, for-sale to LMI buyers, townhouse typology, ~same unit count (33 vs 36). East Coast regulatory environment.</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Source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homecitydevelopment.org/development-projects</w:t>
            </w:r>
          </w:p>
        </w:tc>
      </w:tr>
    </w:tbl>
    <w:p>
      <w:pPr>
        <w:spacing w:before="80" w:after="0"/>
      </w:pPr>
    </w:p>
    <w:p>
      <w:pPr>
        <w:pStyle w:val="Heading2"/>
        <w:spacing w:before="200" w:after="80"/>
      </w:pPr>
      <w:r>
        <w:rPr>
          <w:b/>
          <w:bCs/>
          <w:color w:val="2E7D32"/>
          <w:sz w:val="24"/>
          <w:szCs w:val="24"/>
        </w:rPr>
        <w:t xml:space="preserve">C.2  Johnson Commons Townhouses — Downtown Jacksonville, FL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Project</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Johnson Commons Townhouses</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Location</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Adams/Stuart/Forsyth/Lee Streets, Downtown Jacksonville, FL</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Developer</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JWB Real Estate Capital LLC + Corner Lot Development Group</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System</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3-story  ·  1,400 SF per unit  ·  one-car garage at ground level</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Scale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Multi-unit for-sale townhouse community on urban infill site</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Distinction</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Garage at ground level — direct Scenario D parallel within conventional construction framing.</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Relevance to Lobdel</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Garage-base configuration at townhouse scale. Provides visual and programmatic precedent for Scenario D elements even within a stick-frame delivery.</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Source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thejaxsonmag.com · jaxtoday.org</w:t>
            </w:r>
          </w:p>
        </w:tc>
      </w:tr>
    </w:tbl>
    <w:p>
      <w:pPr>
        <w:spacing w:before="80" w:after="0"/>
      </w:pPr>
    </w:p>
    <w:p>
      <w:pPr>
        <w:pStyle w:val="Heading2"/>
        <w:spacing w:before="200" w:after="80"/>
      </w:pPr>
      <w:r>
        <w:rPr>
          <w:b/>
          <w:bCs/>
          <w:color w:val="2E7D32"/>
          <w:sz w:val="24"/>
          <w:szCs w:val="24"/>
        </w:rPr>
        <w:t xml:space="preserve">C.3  Northeast Pennsylvania Land Bank Mod-Home Initiative (Stick/Modular Hybrid)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Project</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Mod-Home Initiative — NEPA Land Bank</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Location</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Dupont, PA  ·  Groundbreaking November 2025</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Manufacturer Partner</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Simplex Homes (DuPont PA)</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System</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Land bank-owned cleared sites  ·  affordable modular/stick construction</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Relevance to Lobdel</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Land bank model is structurally similar to WHA-owned cleared site. Pennsylvania jurisdiction (adjacent to Delaware). Active 2025–2026 timeframe.</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Source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simplexhomes.com</w:t>
            </w:r>
          </w:p>
        </w:tc>
      </w:tr>
    </w:tbl>
    <w:p>
      <w:pPr>
        <w:spacing w:before="80" w:after="0"/>
      </w:pPr>
    </w:p>
    <w:p>
      <w:pPr>
        <w:spacing w:before="160" w:after="60"/>
      </w:pPr>
      <w:r>
        <w:rPr>
          <w:b/>
          <w:bCs/>
          <w:color w:val="2E7D32"/>
          <w:sz w:val="22"/>
          <w:szCs w:val="22"/>
        </w:rPr>
        <w:t>Image Library Directions — Scenario C (Stick-Build)</w:t>
      </w:r>
    </w:p>
    <w:p>
      <w:pPr>
        <w:numPr>
          <w:ilvl w:val="0"/>
          <w:numId w:val="1"/>
        </w:numPr>
        <w:spacing w:before="40" w:after="40"/>
      </w:pPr>
      <w:r>
        <w:rPr>
          <w:color w:val="1F2937"/>
          <w:sz w:val="22"/>
          <w:szCs w:val="22"/>
        </w:rPr>
        <w:t>Wilmington area new construction affordable row house — Search: “Wilmington Delaware affordable housing new construction row house 2023 2024”</w:t>
      </w:r>
    </w:p>
    <w:p>
      <w:pPr>
        <w:numPr>
          <w:ilvl w:val="0"/>
          <w:numId w:val="1"/>
        </w:numPr>
        <w:spacing w:before="40" w:after="40"/>
      </w:pPr>
      <w:r>
        <w:rPr>
          <w:color w:val="1F2937"/>
          <w:sz w:val="22"/>
          <w:szCs w:val="22"/>
        </w:rPr>
        <w:t>Brick base / fiber cement siding townhouse streetscape — Search: “brick base fiber cement siding new affordable row house urban corridor stoop”</w:t>
      </w:r>
    </w:p>
    <w:p>
      <w:pPr>
        <w:numPr>
          <w:ilvl w:val="0"/>
          <w:numId w:val="1"/>
        </w:numPr>
        <w:spacing w:before="40" w:after="40"/>
      </w:pPr>
      <w:r>
        <w:rPr>
          <w:color w:val="1F2937"/>
          <w:sz w:val="22"/>
          <w:szCs w:val="22"/>
        </w:rPr>
        <w:t>Traditional wood-frame row house framing mid-construction — Search: “wood frame row house framing under construction Mid-Atlantic”</w:t>
      </w:r>
    </w:p>
    <w:p>
      <w:pPr>
        <w:numPr>
          <w:ilvl w:val="0"/>
          <w:numId w:val="1"/>
        </w:numPr>
        <w:spacing w:before="40" w:after="40"/>
      </w:pPr>
      <w:r>
        <w:rPr>
          <w:color w:val="1F2937"/>
          <w:sz w:val="22"/>
          <w:szCs w:val="22"/>
        </w:rPr>
        <w:t>Contemporary affordable townhouse facade — Search: “contemporary affordable townhouse facade brick fiber cement urban 2023 2024”</w:t>
      </w:r>
    </w:p>
    <w:p>
      <w:pPr>
        <w:numPr>
          <w:ilvl w:val="0"/>
          <w:numId w:val="1"/>
        </w:numPr>
        <w:spacing w:before="40" w:after="40"/>
      </w:pPr>
      <w:r>
        <w:rPr>
          <w:color w:val="1F2937"/>
          <w:sz w:val="22"/>
          <w:szCs w:val="22"/>
        </w:rPr>
        <w:t>Johnson Commons Jacksonville (garage-base townhouse) — Search: “Johnson Commons Jacksonville townhouses JWB Corner Lot”</w:t>
      </w:r>
    </w:p>
    <w:p>
      <w:r>
        <w:br w:type="page"/>
      </w:r>
    </w:p>
    <w:p>
      <w:pPr>
        <w:pStyle w:val="Heading1"/>
        <w:shd w:val="clear" w:color="auto" w:fill="CCCCCC"/>
        <w:spacing w:before="0" w:after="0"/>
      </w:pPr>
      <w:r>
        <w:rPr>
          <w:b/>
          <w:bCs/>
          <w:color w:val="444444"/>
          <w:sz w:val="29"/>
          <w:szCs w:val="29"/>
        </w:rPr>
        <w:t>Scenario D — Garage-Base / Garden Roof: Comparable Projects</w:t>
      </w:r>
    </w:p>
    <w:p>
      <w:pPr>
        <w:spacing w:before="80" w:after="0"/>
      </w:pPr>
    </w:p>
    <w:p>
      <w:pPr>
        <w:spacing w:before="40" w:after="80"/>
      </w:pPr>
      <w:r>
        <w:rPr>
          <w:color w:val="1F2937"/>
          <w:sz w:val="22"/>
          <w:szCs w:val="22"/>
        </w:rPr>
        <w:t>Scenario D is the most differentiated typology in the matrix. There is no single project that exactly replicates all four elements (garage base + modular living stack + garden roof + affordable for-sale). The precedent case is therefore assembled from component analogues: each element has a built precedent; the combination is the innovation.</w:t>
      </w:r>
    </w:p>
    <w:p>
      <w:pPr>
        <w:spacing w:before="80" w:after="0"/>
      </w:pPr>
    </w:p>
    <w:p>
      <w:pPr>
        <w:pStyle w:val="Heading2"/>
        <w:spacing w:before="200" w:after="80"/>
      </w:pPr>
      <w:r>
        <w:rPr>
          <w:b/>
          <w:bCs/>
          <w:color w:val="2E7D32"/>
          <w:sz w:val="24"/>
          <w:szCs w:val="24"/>
        </w:rPr>
        <w:t xml:space="preserve">D.1  Garage Base — Johnson Commons Jacksonville + Denver “5390” Peak II Series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Johnson Commons (Jacksonville FL)</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3-story townhouses with one-car garage at ground level  ·  Urban infill  ·  JWB / Corner Lot Development  ·  Stick-frame analog of the Scenario D base</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Denver 5390 — Peak II Series (Denver CO)</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3-story + rooftop deck townhouse  ·  Urban infill adjacent to golf course  ·  Outdoor fireplace + mountain views  ·  Garage at grade  ·  Rooftop deck pulled in to comply with bulk plane</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Briburn Architecture Urban Infill (Portland ME)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4-story urban infill single-family: 2-car garage L1, 3BR + laundry L2, open-concept living L3, mezzanine + rooftop deck L4. Narrow lot, Casco Bay views.</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Relevance to Lobdel</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All three validate the garage-base / stacked living / rooftop deck typology at urban infill residential scale. Denver and Portland examples show rooftop amenity at townhouse scale. None are affordable for-sale at row house scale — Lobdel would be a national first at that combination.</w:t>
            </w:r>
          </w:p>
        </w:tc>
      </w:tr>
    </w:tbl>
    <w:p>
      <w:pPr>
        <w:spacing w:before="80" w:after="0"/>
      </w:pPr>
    </w:p>
    <w:p>
      <w:pPr>
        <w:pStyle w:val="Heading2"/>
        <w:spacing w:before="200" w:after="80"/>
      </w:pPr>
      <w:r>
        <w:rPr>
          <w:b/>
          <w:bCs/>
          <w:color w:val="2E7D32"/>
          <w:sz w:val="24"/>
          <w:szCs w:val="24"/>
        </w:rPr>
        <w:t xml:space="preserve">D.2  Modular-on-Podium — Navigation Center, Redwood City, 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Project</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Navigation Center</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Location</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Redwood City, CA  ·  San Mateo County</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Developer</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County of San Mateo  ·  Office of Charles F. Bloszies (architect)</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Manufacturer</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Silver Creek Industries  ·  XL Construction (GC)</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Scale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240 modular units  ·  2–3 story rows  ·  LEED Silver  ·  Opened April 2023</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System</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Volumetric modular units arranged in multi-story rows  ·  Photovoltaic panels, EV chargers, green infrastructure</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Relevance to Lobdel</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Validates modular units in multi-story stacked rows with sustainability features. Not exactly garage-base, but demonstrates modular crane-set at row-house scale with amenity programming. Largest modular affordable housing project in the dataset.</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Source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sustainablesanmateo.org</w:t>
            </w:r>
          </w:p>
        </w:tc>
      </w:tr>
    </w:tbl>
    <w:p>
      <w:pPr>
        <w:spacing w:before="80" w:after="0"/>
      </w:pPr>
    </w:p>
    <w:p>
      <w:pPr>
        <w:pStyle w:val="Heading2"/>
        <w:spacing w:before="200" w:after="80"/>
      </w:pPr>
      <w:r>
        <w:rPr>
          <w:b/>
          <w:bCs/>
          <w:color w:val="2E7D32"/>
          <w:sz w:val="24"/>
          <w:szCs w:val="24"/>
        </w:rPr>
        <w:t xml:space="preserve">D.3  Green Canopy NODE Prototype — Rooftop Deck on CLT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Project</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Green Canopy NODE CLT Modular Prototype — Spokane, WA</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Feature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2-story, 1,200 SF, CLT modular unit with rooftop deck  ·  Interior CLT exposed</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Relevance to Lobdel</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Only known US precedent for a rooftop deck on a CLT modular residential unit. Direct system analog for Scenario D’s garden roof over modular stack.</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Source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offsitebuilder.com</w:t>
            </w:r>
          </w:p>
        </w:tc>
      </w:tr>
    </w:tbl>
    <w:p>
      <w:pPr>
        <w:spacing w:before="80" w:after="0"/>
      </w:pPr>
    </w:p>
    <w:p>
      <w:pPr>
        <w:pStyle w:val="Heading2"/>
        <w:spacing w:before="200" w:after="80"/>
      </w:pPr>
      <w:r>
        <w:rPr>
          <w:b/>
          <w:bCs/>
          <w:color w:val="2E7D32"/>
          <w:sz w:val="24"/>
          <w:szCs w:val="24"/>
        </w:rPr>
        <w:t xml:space="preserve">D.4  Garden Roof / Green Roof — Residential Rooftop Precedents</w:t>
      </w:r>
    </w:p>
    <w:p>
      <w:pPr>
        <w:spacing w:before="40" w:after="80"/>
      </w:pPr>
      <w:r>
        <w:rPr>
          <w:color w:val="888888"/>
          <w:sz w:val="21"/>
          <w:szCs w:val="21"/>
        </w:rPr>
        <w:t>No affordable for-sale townhouse in the US currently combines a garage base, modular stack, and intensive garden roof. The following represent best-available residential green roof precedents:</w:t>
      </w:r>
    </w:p>
    <w:p>
      <w:pPr>
        <w:spacing w:before="40" w:after="0"/>
      </w:pPr>
    </w:p>
    <w:p>
      <w:pPr>
        <w:numPr>
          <w:ilvl w:val="0"/>
          <w:numId w:val="1"/>
        </w:numPr>
        <w:spacing w:before="40" w:after="40"/>
      </w:pPr>
      <w:r>
        <w:rPr>
          <w:color w:val="1F2937"/>
          <w:sz w:val="22"/>
          <w:szCs w:val="22"/>
        </w:rPr>
        <w:t xml:space="preserve">Amethyst Brook Apartments, Springfield MA — completed May 2025 · rooftop solar panels + community deck on affordable multifamily  ·  homecitydevelopment.org</w:t>
      </w:r>
    </w:p>
    <w:p>
      <w:pPr>
        <w:numPr>
          <w:ilvl w:val="0"/>
          <w:numId w:val="1"/>
        </w:numPr>
        <w:spacing w:before="40" w:after="40"/>
      </w:pPr>
      <w:r>
        <w:rPr>
          <w:color w:val="1F2937"/>
          <w:sz w:val="22"/>
          <w:szCs w:val="22"/>
        </w:rPr>
        <w:t xml:space="preserve">Mason Place Townhomes, Omaha NE (2025–2026) — private rooftop deck per unit  ·  SL Jensen builder  · $435K+ but typological precedent for unit-level rooftop</w:t>
      </w:r>
    </w:p>
    <w:p>
      <w:pPr>
        <w:numPr>
          <w:ilvl w:val="0"/>
          <w:numId w:val="1"/>
        </w:numPr>
        <w:spacing w:before="40" w:after="40"/>
      </w:pPr>
      <w:r>
        <w:rPr>
          <w:color w:val="1F2937"/>
          <w:sz w:val="22"/>
          <w:szCs w:val="22"/>
        </w:rPr>
        <w:t>Green roof community examples — rooftop gardens on urban multifamily: How Roof Gardens and Green Roofs Build Vibrant Urban Communities (architectural press)</w:t>
      </w:r>
    </w:p>
    <w:p>
      <w:pPr>
        <w:spacing w:before="80" w:after="0"/>
      </w:pPr>
    </w:p>
    <w:p>
      <w:pPr>
        <w:spacing w:before="160" w:after="60"/>
      </w:pPr>
      <w:r>
        <w:rPr>
          <w:b/>
          <w:bCs/>
          <w:color w:val="2E7D32"/>
          <w:sz w:val="22"/>
          <w:szCs w:val="22"/>
        </w:rPr>
        <w:t>Image Library Directions — Scenario D (Garage-Base / Garden Roof)</w:t>
      </w:r>
    </w:p>
    <w:p>
      <w:pPr>
        <w:numPr>
          <w:ilvl w:val="0"/>
          <w:numId w:val="1"/>
        </w:numPr>
        <w:spacing w:before="40" w:after="40"/>
      </w:pPr>
      <w:r>
        <w:rPr>
          <w:color w:val="1F2937"/>
          <w:sz w:val="22"/>
          <w:szCs w:val="22"/>
        </w:rPr>
        <w:t>Johnson Commons Jacksonville garage-base townhouse — Search: “Johnson Commons Jacksonville townhouses JWB garage”</w:t>
      </w:r>
    </w:p>
    <w:p>
      <w:pPr>
        <w:numPr>
          <w:ilvl w:val="0"/>
          <w:numId w:val="1"/>
        </w:numPr>
        <w:spacing w:before="40" w:after="40"/>
      </w:pPr>
      <w:r>
        <w:rPr>
          <w:color w:val="1F2937"/>
          <w:sz w:val="22"/>
          <w:szCs w:val="22"/>
        </w:rPr>
        <w:t xml:space="preserve">Denver 5390 Peak II rooftop deck urban townhouse — Search: “5390 Denver Peak II rooftop deck urban townhouse”  · Source: probuilder.com</w:t>
      </w:r>
    </w:p>
    <w:p>
      <w:pPr>
        <w:numPr>
          <w:ilvl w:val="0"/>
          <w:numId w:val="1"/>
        </w:numPr>
        <w:spacing w:before="40" w:after="40"/>
      </w:pPr>
      <w:r>
        <w:rPr>
          <w:color w:val="1F2937"/>
          <w:sz w:val="22"/>
          <w:szCs w:val="22"/>
        </w:rPr>
        <w:t>Briburn urban infill garage rooftop Portland — Source: briburn.com/project/urban-infill</w:t>
      </w:r>
    </w:p>
    <w:p>
      <w:pPr>
        <w:numPr>
          <w:ilvl w:val="0"/>
          <w:numId w:val="1"/>
        </w:numPr>
        <w:spacing w:before="40" w:after="40"/>
      </w:pPr>
      <w:r>
        <w:rPr>
          <w:color w:val="1F2937"/>
          <w:sz w:val="22"/>
          <w:szCs w:val="22"/>
        </w:rPr>
        <w:t>Navigation Center Redwood City modular rows — Search: “Navigation Center Redwood City modular 2023” · Source: sustainablesanmateo.org</w:t>
      </w:r>
    </w:p>
    <w:p>
      <w:pPr>
        <w:numPr>
          <w:ilvl w:val="0"/>
          <w:numId w:val="1"/>
        </w:numPr>
        <w:spacing w:before="40" w:after="40"/>
      </w:pPr>
      <w:r>
        <w:rPr>
          <w:color w:val="1F2937"/>
          <w:sz w:val="22"/>
          <w:szCs w:val="22"/>
        </w:rPr>
        <w:t>Green Canopy NODE rooftop deck CLT Spokane — Search: “Green Canopy NODE Spokane CLT rooftop deck” · Source: offsitebuilder.com</w:t>
      </w:r>
    </w:p>
    <w:p>
      <w:pPr>
        <w:numPr>
          <w:ilvl w:val="0"/>
          <w:numId w:val="1"/>
        </w:numPr>
        <w:spacing w:before="40" w:after="40"/>
      </w:pPr>
      <w:r>
        <w:rPr>
          <w:color w:val="1F2937"/>
          <w:sz w:val="22"/>
          <w:szCs w:val="22"/>
        </w:rPr>
        <w:t>Intensive green roof usable garden townhouse urban — Search: “green roof garden deck residential townhouse urban community”</w:t>
      </w:r>
    </w:p>
    <w:p>
      <w:r>
        <w:br w:type="page"/>
      </w:r>
    </w:p>
    <w:p>
      <w:pPr>
        <w:pStyle w:val="Heading1"/>
        <w:shd w:val="clear" w:color="auto" w:fill="CCCCCC"/>
        <w:spacing w:before="0" w:after="0"/>
      </w:pPr>
      <w:r>
        <w:rPr>
          <w:b/>
          <w:bCs/>
          <w:color w:val="444444"/>
          <w:sz w:val="29"/>
          <w:szCs w:val="29"/>
        </w:rPr>
        <w:t>Look &amp; Feel Image Library — Search Guide &amp; Aesthetic Direction</w:t>
      </w:r>
    </w:p>
    <w:p>
      <w:pPr>
        <w:spacing w:before="80" w:after="0"/>
      </w:pPr>
    </w:p>
    <w:p>
      <w:pPr>
        <w:spacing w:before="0" w:after="80"/>
      </w:pPr>
      <w:r>
        <w:rPr>
          <w:color w:val="1F2937"/>
          <w:sz w:val="22"/>
          <w:szCs w:val="22"/>
        </w:rPr>
        <w:t>The following is the curated image search guide for the WHA presentation deck and M4D project library. Images should be downloaded in the highest available resolution (minimum 2400px wide), organized in the folder structure below, and confirmed as rights-available (press release / project photography with attribution, or licensed stock).</w:t>
      </w:r>
    </w:p>
    <w:p>
      <w:pPr>
        <w:spacing w:before="80" w:after="0"/>
      </w:pPr>
    </w:p>
    <w:p>
      <w:pPr>
        <w:pStyle w:val="Heading2"/>
        <w:spacing w:before="200" w:after="80"/>
      </w:pPr>
      <w:r>
        <w:rPr>
          <w:b/>
          <w:bCs/>
          <w:color w:val="2E7D32"/>
          <w:sz w:val="24"/>
          <w:szCs w:val="24"/>
        </w:rPr>
        <w:t>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trPr/>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20"/>
                <w:szCs w:val="20"/>
              </w:rPr>
              <w:t>Folder</w:t>
            </w:r>
          </w:p>
        </w:tc>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444444"/>
                <w:sz w:val="20"/>
                <w:szCs w:val="20"/>
              </w:rPr>
              <w:t>Contents</w:t>
            </w:r>
          </w:p>
        </w:tc>
      </w:tr>
      <w:tr>
        <w:trPr/>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/Lobdel/ImageLib/A_CLT-Hybrid</w:t>
            </w:r>
          </w:p>
        </w:tc>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Chiles House, Model-C Boston, Green Canopy NODE, CLT panel erection, exposed CLT interior</w:t>
            </w:r>
          </w:p>
        </w:tc>
      </w:tr>
      <w:tr>
        <w:trPr/>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1"/>
                <w:szCs w:val="21"/>
              </w:rPr>
              <w:t>/Lobdel/ImageLib/B_Modular</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1"/>
                <w:szCs w:val="21"/>
              </w:rPr>
              <w:t>Harrison Row (exterior + assembly), Kinexx factory, Simplex townhouse, Module Pittsburgh</w:t>
            </w:r>
          </w:p>
        </w:tc>
      </w:tr>
      <w:tr>
        <w:trPr/>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/Lobdel/ImageLib/C_StickBuild</w:t>
            </w:r>
          </w:p>
        </w:tc>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Wilmington area new construction, brick/fiber cement streetscape, wood-frame framing mid-construction</w:t>
            </w:r>
          </w:p>
        </w:tc>
      </w:tr>
      <w:tr>
        <w:trPr/>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1"/>
                <w:szCs w:val="21"/>
              </w:rPr>
              <w:t>/Lobdel/ImageLib/D_GarageBase</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1"/>
                <w:szCs w:val="21"/>
              </w:rPr>
              <w:t>Johnson Commons Jacksonville, Denver 5390, Briburn Portland, Navigation Center Redwood City, green roof examples</w:t>
            </w:r>
          </w:p>
        </w:tc>
      </w:tr>
      <w:tr>
        <w:trPr/>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/Lobdel/ImageLib/E_Community</w:t>
            </w:r>
          </w:p>
        </w:tc>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Amenity zones, community courtyards, shared green space, parking courts with landscaping</w:t>
            </w:r>
          </w:p>
        </w:tc>
      </w:tr>
      <w:tr>
        <w:trPr/>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1"/>
                <w:szCs w:val="21"/>
              </w:rPr>
              <w:t>/Lobdel/ImageLib/F_Streetscape</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1"/>
                <w:szCs w:val="21"/>
              </w:rPr>
              <w:t>Urban row house corridor streetscapes, stoop entries, Wilmington corridor context</w:t>
            </w:r>
          </w:p>
        </w:tc>
      </w:tr>
      <w:tr>
        <w:trPr/>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/Lobdel/ImageLib/G_Sustainability</w:t>
            </w:r>
          </w:p>
        </w:tc>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Rooftop solar arrays, geothermal bore field, rainwater cisterns, green roofs, PACE financing examples</w:t>
            </w:r>
          </w:p>
        </w:tc>
      </w:tr>
    </w:tbl>
    <w:p>
      <w:pPr>
        <w:spacing w:before="100" w:after="0"/>
      </w:pPr>
    </w:p>
    <w:p>
      <w:pPr>
        <w:pStyle w:val="Heading2"/>
        <w:spacing w:before="200" w:after="80"/>
      </w:pPr>
      <w:r>
        <w:rPr>
          <w:b/>
          <w:bCs/>
          <w:color w:val="2E7D32"/>
          <w:sz w:val="24"/>
          <w:szCs w:val="24"/>
        </w:rPr>
        <w:t>Aesthetic Direction for WHA Presentation</w:t>
      </w:r>
    </w:p>
    <w:p>
      <w:pPr>
        <w:spacing w:before="40" w:after="80"/>
      </w:pPr>
      <w:r>
        <w:rPr>
          <w:color w:val="1F2937"/>
          <w:sz w:val="22"/>
          <w:szCs w:val="22"/>
        </w:rPr>
        <w:t>The WHA presentation visuals should establish a clear look-and-feel that positions this project as a quality step above the existing Lobdel Ave housing stock. The following aesthetic parameters should guide both image selection and future rendering direction.</w:t>
      </w:r>
    </w:p>
    <w:p>
      <w:pPr>
        <w:spacing w:before="8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Exterior Palette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Warm brick base course (3 ft above grade)  ·  Fiber cement panel siding (warm greige or charcoal)  ·  Dark-stained wood trim at stoops and entries  ·  Dark charcoal roofing</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Entry / Stoop Character</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Generous 20 ft landscaped front setback  ·  Individual stoops with planters  ·  Defined unit entries  ·  Well-lit, welcoming street presence</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Corridor / Street View</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Looking north from Lobdel Ave: Row 1 stoops framed by street trees and landscaped buffer  ·  NOT a parking lot streetscape</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Amenity Zone Feel</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Active green, not residual space  ·  Community garden beds  ·  Lawn area for children  ·  Bio-retention rain garden  ·  Covered parking court with landscaping overhead</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Interior Inspiration</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Open-plan L2/L3 living  ·  Exposed CLT or clean white drywall depending on construction type  ·  Modern kitchen with white/natural wood cabinetry  ·  3BR/2BA family-appropriate</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Scenario D Specific</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Garden roof deck: intimate scale, planters, seating, views over the community  ·  NOT a commercial rooftop bar aesthetic</w:t>
            </w:r>
          </w:p>
        </w:tc>
      </w:tr>
      <w:tr>
        <w:trPr/>
        <w:tc>
          <w:tcPr>
            <w:tcW w:w="25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20"/>
                <w:szCs w:val="20"/>
              </w:rPr>
              <w:t>Overall Tone</w:t>
            </w:r>
          </w:p>
        </w:tc>
        <w:tc>
          <w:tcPr>
            <w:tcW w:w="6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1"/>
                <w:szCs w:val="21"/>
              </w:rPr>
              <w:t xml:space="preserve">Aspirational but accessible  ·  Not luxury  ·  Family-forward  ·  Community-oriented  ·  Quality above the existing Lobdel Ave corridor standard</w:t>
            </w:r>
          </w:p>
        </w:tc>
      </w:tr>
    </w:tbl>
    <w:p>
      <w:pPr>
        <w:spacing w:before="100" w:after="0"/>
      </w:pPr>
    </w:p>
    <w:p>
      <w:pPr>
        <w:pStyle w:val="Heading2"/>
        <w:spacing w:before="200" w:after="80"/>
      </w:pPr>
      <w:r>
        <w:rPr>
          <w:b/>
          <w:bCs/>
          <w:color w:val="2E7D32"/>
          <w:sz w:val="24"/>
          <w:szCs w:val="24"/>
        </w:rPr>
        <w:t>Curated Search Terms by Category</w:t>
      </w:r>
    </w:p>
    <w:p>
      <w:pPr>
        <w:spacing w:before="40" w:after="0"/>
      </w:pPr>
    </w:p>
    <w:p>
      <w:pPr>
        <w:spacing w:before="160" w:after="60"/>
      </w:pPr>
      <w:r>
        <w:rPr>
          <w:b/>
          <w:bCs/>
          <w:color w:val="2E7D32"/>
          <w:sz w:val="22"/>
          <w:szCs w:val="22"/>
        </w:rPr>
        <w:t>Community &amp; Amenity</w:t>
      </w:r>
    </w:p>
    <w:p>
      <w:pPr>
        <w:numPr>
          <w:ilvl w:val="0"/>
          <w:numId w:val="1"/>
        </w:numPr>
        <w:spacing w:before="40" w:after="40"/>
      </w:pPr>
      <w:r>
        <w:rPr>
          <w:color w:val="1F2937"/>
          <w:sz w:val="22"/>
          <w:szCs w:val="22"/>
        </w:rPr>
        <w:t>Search: “afforda affordable housing community courtyard green space amenity 2023 2024”</w:t>
      </w:r>
    </w:p>
    <w:p>
      <w:pPr>
        <w:numPr>
          <w:ilvl w:val="0"/>
          <w:numId w:val="1"/>
        </w:numPr>
        <w:spacing w:before="40" w:after="40"/>
      </w:pPr>
      <w:r>
        <w:rPr>
          <w:color w:val="1F2937"/>
          <w:sz w:val="22"/>
          <w:szCs w:val="22"/>
        </w:rPr>
        <w:t>Search: “bio-retention rain garden urban residential community”</w:t>
      </w:r>
    </w:p>
    <w:p>
      <w:pPr>
        <w:numPr>
          <w:ilvl w:val="0"/>
          <w:numId w:val="1"/>
        </w:numPr>
        <w:spacing w:before="40" w:after="40"/>
      </w:pPr>
      <w:r>
        <w:rPr>
          <w:color w:val="1F2937"/>
          <w:sz w:val="22"/>
          <w:szCs w:val="22"/>
        </w:rPr>
        <w:t>Search: “community garden affordable housing urban infill shared amenity”</w:t>
      </w:r>
    </w:p>
    <w:p>
      <w:pPr>
        <w:numPr>
          <w:ilvl w:val="0"/>
          <w:numId w:val="1"/>
        </w:numPr>
        <w:spacing w:before="40" w:after="40"/>
      </w:pPr>
      <w:r>
        <w:rPr>
          <w:color w:val="1F2937"/>
          <w:sz w:val="22"/>
          <w:szCs w:val="22"/>
        </w:rPr>
        <w:t>Search: “parking court landscaped canopy affordable townhouse”</w:t>
      </w:r>
    </w:p>
    <w:p>
      <w:pPr>
        <w:spacing w:before="40" w:after="0"/>
      </w:pPr>
    </w:p>
    <w:p>
      <w:pPr>
        <w:spacing w:before="160" w:after="60"/>
      </w:pPr>
      <w:r>
        <w:rPr>
          <w:b/>
          <w:bCs/>
          <w:color w:val="2E7D32"/>
          <w:sz w:val="22"/>
          <w:szCs w:val="22"/>
        </w:rPr>
        <w:t>Street &amp; Corridor</w:t>
      </w:r>
    </w:p>
    <w:p>
      <w:pPr>
        <w:numPr>
          <w:ilvl w:val="0"/>
          <w:numId w:val="1"/>
        </w:numPr>
        <w:spacing w:before="40" w:after="40"/>
      </w:pPr>
      <w:r>
        <w:rPr>
          <w:color w:val="1F2937"/>
          <w:sz w:val="22"/>
          <w:szCs w:val="22"/>
        </w:rPr>
        <w:t>Search: “urban row house streetscape affordable new construction stoop brick entry”</w:t>
      </w:r>
    </w:p>
    <w:p>
      <w:pPr>
        <w:numPr>
          <w:ilvl w:val="0"/>
          <w:numId w:val="1"/>
        </w:numPr>
        <w:spacing w:before="40" w:after="40"/>
      </w:pPr>
      <w:r>
        <w:rPr>
          <w:color w:val="1F2937"/>
          <w:sz w:val="22"/>
          <w:szCs w:val="22"/>
        </w:rPr>
        <w:t>Search: “street trees landscaped setback affordable housing urban corridor”</w:t>
      </w:r>
    </w:p>
    <w:p>
      <w:pPr>
        <w:numPr>
          <w:ilvl w:val="0"/>
          <w:numId w:val="1"/>
        </w:numPr>
        <w:spacing w:before="40" w:after="40"/>
      </w:pPr>
      <w:r>
        <w:rPr>
          <w:color w:val="1F2937"/>
          <w:sz w:val="22"/>
          <w:szCs w:val="22"/>
        </w:rPr>
        <w:t>Search: “Wilmington Delaware new construction residential corridor 2023 2024”</w:t>
      </w:r>
    </w:p>
    <w:p>
      <w:pPr>
        <w:spacing w:before="40" w:after="0"/>
      </w:pPr>
    </w:p>
    <w:p>
      <w:pPr>
        <w:spacing w:before="160" w:after="60"/>
      </w:pPr>
      <w:r>
        <w:rPr>
          <w:b/>
          <w:bCs/>
          <w:color w:val="2E7D32"/>
          <w:sz w:val="22"/>
          <w:szCs w:val="22"/>
        </w:rPr>
        <w:t>Sustainability &amp; Green Features</w:t>
      </w:r>
    </w:p>
    <w:p>
      <w:pPr>
        <w:numPr>
          <w:ilvl w:val="0"/>
          <w:numId w:val="1"/>
        </w:numPr>
        <w:spacing w:before="40" w:after="40"/>
      </w:pPr>
      <w:r>
        <w:rPr>
          <w:color w:val="1F2937"/>
          <w:sz w:val="22"/>
          <w:szCs w:val="22"/>
        </w:rPr>
        <w:t>Search: “community solar PV canopy parking affordable housing array”</w:t>
      </w:r>
    </w:p>
    <w:p>
      <w:pPr>
        <w:numPr>
          <w:ilvl w:val="0"/>
          <w:numId w:val="1"/>
        </w:numPr>
        <w:spacing w:before="40" w:after="40"/>
      </w:pPr>
      <w:r>
        <w:rPr>
          <w:color w:val="1F2937"/>
          <w:sz w:val="22"/>
          <w:szCs w:val="22"/>
        </w:rPr>
        <w:t>Search: “geothermal bore field residential affordable housing”</w:t>
      </w:r>
    </w:p>
    <w:p>
      <w:pPr>
        <w:numPr>
          <w:ilvl w:val="0"/>
          <w:numId w:val="1"/>
        </w:numPr>
        <w:spacing w:before="40" w:after="40"/>
      </w:pPr>
      <w:r>
        <w:rPr>
          <w:color w:val="1F2937"/>
          <w:sz w:val="22"/>
          <w:szCs w:val="22"/>
        </w:rPr>
        <w:t>Search: “intensive green roof residential townhouse garden deck urban 2023 2024”</w:t>
      </w:r>
    </w:p>
    <w:p>
      <w:pPr>
        <w:numPr>
          <w:ilvl w:val="0"/>
          <w:numId w:val="1"/>
        </w:numPr>
        <w:spacing w:before="40" w:after="40"/>
      </w:pPr>
      <w:r>
        <w:rPr>
          <w:color w:val="1F2937"/>
          <w:sz w:val="22"/>
          <w:szCs w:val="22"/>
        </w:rPr>
        <w:t>Search: “PACE financing sustainable affordable housing”</w:t>
      </w:r>
    </w:p>
    <w:p>
      <w:pPr>
        <w:spacing w:before="40" w:after="0"/>
      </w:pPr>
    </w:p>
    <w:p>
      <w:pPr>
        <w:spacing w:before="160" w:after="60"/>
      </w:pPr>
      <w:r>
        <w:rPr>
          <w:b/>
          <w:bCs/>
          <w:color w:val="2E7D32"/>
          <w:sz w:val="22"/>
          <w:szCs w:val="22"/>
        </w:rPr>
        <w:t>Key Rights-Cleared Sources</w:t>
      </w:r>
    </w:p>
    <w:p>
      <w:pPr>
        <w:numPr>
          <w:ilvl w:val="0"/>
          <w:numId w:val="1"/>
        </w:numPr>
        <w:spacing w:before="40" w:after="40"/>
      </w:pPr>
      <w:r>
        <w:rPr>
          <w:color w:val="1F2937"/>
          <w:sz w:val="22"/>
          <w:szCs w:val="22"/>
        </w:rPr>
        <w:t>Think Wood Image Library: thinkwood.com/resources/image-library — Free for projects promoting mass timber</w:t>
      </w:r>
    </w:p>
    <w:p>
      <w:pPr>
        <w:numPr>
          <w:ilvl w:val="0"/>
          <w:numId w:val="1"/>
        </w:numPr>
        <w:spacing w:before="40" w:after="40"/>
      </w:pPr>
      <w:r>
        <w:rPr>
          <w:color w:val="1F2937"/>
          <w:sz w:val="22"/>
          <w:szCs w:val="22"/>
        </w:rPr>
        <w:t>WoodWorks Innovation Network: woodworksinnovationnetwork.org/projects — Attribution required</w:t>
      </w:r>
    </w:p>
    <w:p>
      <w:pPr>
        <w:numPr>
          <w:ilvl w:val="0"/>
          <w:numId w:val="1"/>
        </w:numPr>
        <w:spacing w:before="40" w:after="40"/>
      </w:pPr>
      <w:r>
        <w:rPr>
          <w:color w:val="1F2937"/>
          <w:sz w:val="22"/>
          <w:szCs w:val="22"/>
        </w:rPr>
        <w:t>Kinexx Modular press release images: kinexxmodularconstruction.com/news</w:t>
      </w:r>
    </w:p>
    <w:p>
      <w:pPr>
        <w:numPr>
          <w:ilvl w:val="0"/>
          <w:numId w:val="1"/>
        </w:numPr>
        <w:spacing w:before="40" w:after="40"/>
      </w:pPr>
      <w:r>
        <w:rPr>
          <w:color w:val="1F2937"/>
          <w:sz w:val="22"/>
          <w:szCs w:val="22"/>
        </w:rPr>
        <w:t>Enterprise Community Partners project photography: enterprisecommunity.org</w:t>
      </w:r>
    </w:p>
    <w:p>
      <w:pPr>
        <w:numPr>
          <w:ilvl w:val="0"/>
          <w:numId w:val="1"/>
        </w:numPr>
        <w:spacing w:before="40" w:after="40"/>
      </w:pPr>
      <w:r>
        <w:rPr>
          <w:color w:val="1F2937"/>
          <w:sz w:val="22"/>
          <w:szCs w:val="22"/>
        </w:rPr>
        <w:t>Unsplash / Pexels — CC0 licensed modern housing photography (confirm search terms: “afforda row house urban infill community”)</w:t>
      </w:r>
    </w:p>
    <w:p>
      <w:pPr>
        <w:numPr>
          <w:ilvl w:val="0"/>
          <w:numId w:val="1"/>
        </w:numPr>
        <w:spacing w:before="40" w:after="40"/>
      </w:pPr>
      <w:r>
        <w:rPr>
          <w:color w:val="1F2937"/>
          <w:sz w:val="22"/>
          <w:szCs w:val="22"/>
        </w:rPr>
        <w:t>ArchDaily project images — Attribution required; suitable for internal reference and presentation with credit</w:t>
      </w:r>
    </w:p>
    <w:sectPr w:rsidR="00800724" w:rsidSect="008F56B5">
      <w:headerReference w:type="default" r:id="rId7"/>
      <w:footerReference w:type="default" r:id="rId8"/>
      <w:pgSz w:w="12240" w:h="15840"/>
      <w:pgMar w:top="1080" w:right="1260" w:bottom="1080" w:left="126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A9A22" w14:textId="77777777" w:rsidR="0091618B" w:rsidRDefault="0091618B">
      <w:r>
        <w:separator/>
      </w:r>
    </w:p>
  </w:endnote>
  <w:endnote w:type="continuationSeparator" w:id="0">
    <w:p w14:paraId="455A650C" w14:textId="77777777" w:rsidR="0091618B" w:rsidRDefault="00916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405597"/>
      <w:docPartObj>
        <w:docPartGallery w:val="Page Numbers (Bottom of Page)"/>
        <w:docPartUnique/>
      </w:docPartObj>
    </w:sdtPr>
    <w:sdtContent>
      <w:sdt>
        <w:sdtPr>
          <w:id w:val="-1769616900"/>
          <w:docPartObj>
            <w:docPartGallery w:val="Page Numbers (Top of Page)"/>
            <w:docPartUnique/>
          </w:docPartObj>
        </w:sdtPr>
        <w:sdtContent>
          <w:p w14:paraId="1BA9F4E5" w14:textId="77777777" w:rsidR="001E11F9" w:rsidRDefault="001E11F9" w:rsidP="00793DF1">
            <w:pPr>
              <w:pStyle w:val="Footer"/>
            </w:pPr>
          </w:p>
          <w:p w14:paraId="63C4917B" w14:textId="17A7CE81" w:rsidR="00D962B3" w:rsidRDefault="002857C9" w:rsidP="00793DF1">
            <w:pPr>
              <w:pStyle w:val="Footer"/>
            </w:pPr>
            <w:r w:rsidRPr="001E11F9">
              <w:rPr>
                <w:color w:val="808080" w:themeColor="background1" w:themeShade="80"/>
                <w:sz w:val="16"/>
                <w:szCs w:val="16"/>
              </w:rPr>
              <w:t xml:space="preserve">© 2026 Merge 4 Design LLC d/b/a M4Di.  </w:t>
            </w:r>
            <w:r w:rsidR="00B77D3A" w:rsidRPr="001E11F9">
              <w:rPr>
                <w:color w:val="808080" w:themeColor="background1" w:themeShade="80"/>
                <w:sz w:val="16"/>
                <w:szCs w:val="16"/>
              </w:rPr>
              <w:t>AOR</w:t>
            </w:r>
            <w:r w:rsidR="00B77D3A" w:rsidRPr="001E11F9">
              <w:rPr>
                <w:color w:val="808080" w:themeColor="background1" w:themeShade="80"/>
                <w:sz w:val="16"/>
                <w:szCs w:val="16"/>
              </w:rPr>
              <w:t>: David C. Ainsworth AIA, Aubyn Architecture LLC</w:t>
            </w:r>
            <w:r w:rsidRPr="001E11F9">
              <w:rPr>
                <w:color w:val="808080" w:themeColor="background1" w:themeShade="80"/>
                <w:sz w:val="16"/>
                <w:szCs w:val="16"/>
              </w:rPr>
              <w:t xml:space="preserve">     </w:t>
            </w:r>
            <w:r w:rsidR="00805D69" w:rsidRPr="001E11F9">
              <w:rPr>
                <w:color w:val="808080" w:themeColor="background1" w:themeShade="80"/>
                <w:sz w:val="16"/>
                <w:szCs w:val="16"/>
              </w:rPr>
              <w:t xml:space="preserve">                  </w:t>
            </w:r>
            <w:r w:rsidRPr="001E11F9">
              <w:rPr>
                <w:color w:val="808080" w:themeColor="background1" w:themeShade="80"/>
                <w:sz w:val="16"/>
                <w:szCs w:val="16"/>
              </w:rPr>
              <w:t xml:space="preserve">            </w:t>
            </w:r>
            <w:r w:rsidR="00793DF1" w:rsidRPr="001E11F9">
              <w:rPr>
                <w:color w:val="808080" w:themeColor="background1" w:themeShade="80"/>
                <w:sz w:val="16"/>
                <w:szCs w:val="16"/>
              </w:rPr>
              <w:t xml:space="preserve">    </w:t>
            </w:r>
            <w:r w:rsidR="00D962B3" w:rsidRPr="001E11F9">
              <w:rPr>
                <w:color w:val="808080" w:themeColor="background1" w:themeShade="80"/>
                <w:sz w:val="16"/>
                <w:szCs w:val="16"/>
              </w:rPr>
              <w:t xml:space="preserve">Page </w:t>
            </w:r>
            <w:r w:rsidR="00D962B3" w:rsidRPr="001E11F9">
              <w:rPr>
                <w:b/>
                <w:bCs/>
                <w:color w:val="808080" w:themeColor="background1" w:themeShade="80"/>
                <w:sz w:val="16"/>
                <w:szCs w:val="16"/>
              </w:rPr>
              <w:fldChar w:fldCharType="begin"/>
            </w:r>
            <w:r w:rsidR="00D962B3" w:rsidRPr="001E11F9">
              <w:rPr>
                <w:b/>
                <w:bCs/>
                <w:color w:val="808080" w:themeColor="background1" w:themeShade="80"/>
                <w:sz w:val="16"/>
                <w:szCs w:val="16"/>
              </w:rPr>
              <w:instrText xml:space="preserve"> PAGE </w:instrText>
            </w:r>
            <w:r w:rsidR="00D962B3" w:rsidRPr="001E11F9">
              <w:rPr>
                <w:b/>
                <w:bCs/>
                <w:color w:val="808080" w:themeColor="background1" w:themeShade="80"/>
                <w:sz w:val="16"/>
                <w:szCs w:val="16"/>
              </w:rPr>
              <w:fldChar w:fldCharType="separate"/>
            </w:r>
            <w:r w:rsidR="00D962B3" w:rsidRPr="001E11F9">
              <w:rPr>
                <w:b/>
                <w:bCs/>
                <w:noProof/>
                <w:color w:val="808080" w:themeColor="background1" w:themeShade="80"/>
                <w:sz w:val="16"/>
                <w:szCs w:val="16"/>
              </w:rPr>
              <w:t>2</w:t>
            </w:r>
            <w:r w:rsidR="00D962B3" w:rsidRPr="001E11F9">
              <w:rPr>
                <w:b/>
                <w:bCs/>
                <w:color w:val="808080" w:themeColor="background1" w:themeShade="80"/>
                <w:sz w:val="16"/>
                <w:szCs w:val="16"/>
              </w:rPr>
              <w:fldChar w:fldCharType="end"/>
            </w:r>
            <w:r w:rsidR="00D962B3" w:rsidRPr="001E11F9">
              <w:rPr>
                <w:color w:val="808080" w:themeColor="background1" w:themeShade="80"/>
                <w:sz w:val="16"/>
                <w:szCs w:val="16"/>
              </w:rPr>
              <w:t xml:space="preserve"> of </w:t>
            </w:r>
            <w:r w:rsidR="00D962B3" w:rsidRPr="001E11F9">
              <w:rPr>
                <w:b/>
                <w:bCs/>
                <w:color w:val="808080" w:themeColor="background1" w:themeShade="80"/>
                <w:sz w:val="16"/>
                <w:szCs w:val="16"/>
              </w:rPr>
              <w:fldChar w:fldCharType="begin"/>
            </w:r>
            <w:r w:rsidR="00D962B3" w:rsidRPr="001E11F9">
              <w:rPr>
                <w:b/>
                <w:bCs/>
                <w:color w:val="808080" w:themeColor="background1" w:themeShade="80"/>
                <w:sz w:val="16"/>
                <w:szCs w:val="16"/>
              </w:rPr>
              <w:instrText xml:space="preserve"> NUMPAGES  </w:instrText>
            </w:r>
            <w:r w:rsidR="00D962B3" w:rsidRPr="001E11F9">
              <w:rPr>
                <w:b/>
                <w:bCs/>
                <w:color w:val="808080" w:themeColor="background1" w:themeShade="80"/>
                <w:sz w:val="16"/>
                <w:szCs w:val="16"/>
              </w:rPr>
              <w:fldChar w:fldCharType="separate"/>
            </w:r>
            <w:r w:rsidR="00D962B3" w:rsidRPr="001E11F9">
              <w:rPr>
                <w:b/>
                <w:bCs/>
                <w:noProof/>
                <w:color w:val="808080" w:themeColor="background1" w:themeShade="80"/>
                <w:sz w:val="16"/>
                <w:szCs w:val="16"/>
              </w:rPr>
              <w:t>2</w:t>
            </w:r>
            <w:r w:rsidR="00D962B3" w:rsidRPr="001E11F9">
              <w:rPr>
                <w:b/>
                <w:bCs/>
                <w:color w:val="808080" w:themeColor="background1" w:themeShade="80"/>
                <w:sz w:val="16"/>
                <w:szCs w:val="16"/>
              </w:rPr>
              <w:fldChar w:fldCharType="end"/>
            </w:r>
          </w:p>
        </w:sdtContent>
      </w:sdt>
    </w:sdtContent>
  </w:sdt>
  <w:p w14:paraId="070E0D47" w14:textId="77777777" w:rsidR="005A5284" w:rsidRPr="007E5F7A" w:rsidRDefault="005A5284" w:rsidP="003661D5">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2468E" w14:textId="77777777" w:rsidR="0091618B" w:rsidRDefault="0091618B">
      <w:r>
        <w:separator/>
      </w:r>
    </w:p>
  </w:footnote>
  <w:footnote w:type="continuationSeparator" w:id="0">
    <w:p w14:paraId="0400AB75" w14:textId="77777777" w:rsidR="0091618B" w:rsidRDefault="009161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9E419" w14:textId="77777777" w:rsidR="001A71AE" w:rsidRDefault="004B09FD" w:rsidP="001A71AE">
    <w:pPr>
      <w:ind w:left="720" w:firstLine="720"/>
      <w:rPr>
        <w:b/>
        <w:bCs/>
        <w:color w:val="000000"/>
        <w:sz w:val="28"/>
        <w:szCs w:val="28"/>
      </w:rPr>
    </w:pPr>
    <w:r>
      <w:rPr>
        <w:noProof/>
      </w:rPr>
      <w:drawing>
        <wp:anchor distT="0" distB="0" distL="114300" distR="114300" simplePos="0" relativeHeight="251714560" behindDoc="0" locked="0" layoutInCell="1" allowOverlap="1" wp14:anchorId="72A76B5E" wp14:editId="37B16BDB">
          <wp:simplePos x="0" y="0"/>
          <wp:positionH relativeFrom="margin">
            <wp:align>left</wp:align>
          </wp:positionH>
          <wp:positionV relativeFrom="paragraph">
            <wp:posOffset>29237</wp:posOffset>
          </wp:positionV>
          <wp:extent cx="880281" cy="63108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3975" cy="633731"/>
                  </a:xfrm>
                  <a:prstGeom prst="rect">
                    <a:avLst/>
                  </a:prstGeom>
                </pic:spPr>
              </pic:pic>
            </a:graphicData>
          </a:graphic>
          <wp14:sizeRelH relativeFrom="margin">
            <wp14:pctWidth>0</wp14:pctWidth>
          </wp14:sizeRelH>
          <wp14:sizeRelV relativeFrom="margin">
            <wp14:pctHeight>0</wp14:pctHeight>
          </wp14:sizeRelV>
        </wp:anchor>
      </w:drawing>
    </w:r>
    <w:r w:rsidR="001A71AE" w:rsidRPr="00E91400">
      <w:rPr>
        <w:b/>
        <w:bCs/>
        <w:color w:val="000000"/>
        <w:sz w:val="28"/>
        <w:szCs w:val="28"/>
      </w:rPr>
      <w:t>MERGE 4 DESIGN LLC</w:t>
    </w:r>
  </w:p>
  <w:p w14:paraId="0C5405C0" w14:textId="4AD799F4" w:rsidR="004073D4" w:rsidRDefault="001A71AE" w:rsidP="004073D4">
    <w:pPr>
      <w:ind w:left="720" w:firstLine="720"/>
      <w:rPr>
        <w:color w:val="888888"/>
        <w:spacing w:val="40"/>
        <w:sz w:val="17"/>
        <w:szCs w:val="17"/>
      </w:rPr>
    </w:pPr>
    <w:r>
      <w:rPr>
        <w:color w:val="888888"/>
        <w:spacing w:val="40"/>
        <w:sz w:val="17"/>
        <w:szCs w:val="17"/>
      </w:rPr>
      <w:t>ARCHITECTURE DEVELOPMENT</w:t>
    </w:r>
    <w:r w:rsidR="004073D4">
      <w:rPr>
        <w:color w:val="888888"/>
        <w:spacing w:val="40"/>
        <w:sz w:val="17"/>
        <w:szCs w:val="17"/>
      </w:rPr>
      <w:t xml:space="preserve"> </w:t>
    </w:r>
    <w:r>
      <w:rPr>
        <w:color w:val="888888"/>
        <w:spacing w:val="40"/>
        <w:sz w:val="17"/>
        <w:szCs w:val="17"/>
      </w:rPr>
      <w:t>CONSUL</w:t>
    </w:r>
    <w:r w:rsidR="004073D4">
      <w:rPr>
        <w:color w:val="888888"/>
        <w:spacing w:val="40"/>
        <w:sz w:val="17"/>
        <w:szCs w:val="17"/>
      </w:rPr>
      <w:t>TING</w:t>
    </w:r>
  </w:p>
  <w:p w14:paraId="229625DD" w14:textId="77777777" w:rsidR="004073D4" w:rsidRPr="001E11F9" w:rsidRDefault="004073D4" w:rsidP="004073D4">
    <w:pPr>
      <w:ind w:left="720" w:firstLine="720"/>
      <w:rPr>
        <w:color w:val="374151"/>
        <w:sz w:val="12"/>
        <w:szCs w:val="12"/>
      </w:rPr>
    </w:pPr>
  </w:p>
  <w:p w14:paraId="144C27A6" w14:textId="562D4AA9" w:rsidR="004073D4" w:rsidRDefault="00820CF8" w:rsidP="004073D4">
    <w:pPr>
      <w:ind w:left="720" w:firstLine="720"/>
      <w:rPr>
        <w:color w:val="374151"/>
        <w:sz w:val="16"/>
        <w:szCs w:val="16"/>
      </w:rPr>
    </w:pPr>
    <w:r>
      <w:rPr>
        <w:color w:val="374151"/>
        <w:sz w:val="16"/>
        <w:szCs w:val="16"/>
      </w:rPr>
      <w:t xml:space="preserve">500 Delaware Ave., Suite 1 #1551, </w:t>
    </w:r>
  </w:p>
  <w:p w14:paraId="46FBE342" w14:textId="0E6D5B17" w:rsidR="00FB0B9A" w:rsidRDefault="00820CF8" w:rsidP="004073D4">
    <w:pPr>
      <w:ind w:left="720" w:firstLine="720"/>
      <w:rPr>
        <w:color w:val="888888"/>
        <w:sz w:val="16"/>
        <w:szCs w:val="16"/>
      </w:rPr>
    </w:pPr>
    <w:r>
      <w:rPr>
        <w:color w:val="374151"/>
        <w:sz w:val="16"/>
        <w:szCs w:val="16"/>
      </w:rPr>
      <w:t xml:space="preserve">Wilmington, DE </w:t>
    </w:r>
    <w:r w:rsidR="00B91127">
      <w:rPr>
        <w:color w:val="374151"/>
        <w:sz w:val="16"/>
        <w:szCs w:val="16"/>
      </w:rPr>
      <w:t>19899 · info@merge4design.com</w:t>
    </w:r>
    <w:r w:rsidR="00B91127">
      <w:rPr>
        <w:color w:val="888888"/>
        <w:sz w:val="16"/>
        <w:szCs w:val="16"/>
      </w:rPr>
      <w:t xml:space="preserve"> · 302</w:t>
    </w:r>
    <w:r w:rsidR="00FB0B9A">
      <w:rPr>
        <w:color w:val="888888"/>
        <w:sz w:val="16"/>
        <w:szCs w:val="16"/>
      </w:rPr>
      <w:t xml:space="preserve"> 367 5726</w:t>
    </w:r>
  </w:p>
  <w:p w14:paraId="70C0A609" w14:textId="77777777" w:rsidR="008F56B5" w:rsidRPr="004073D4" w:rsidRDefault="008F56B5" w:rsidP="004073D4">
    <w:pPr>
      <w:ind w:left="720" w:firstLine="720"/>
      <w:rPr>
        <w:color w:val="888888"/>
        <w:spacing w:val="40"/>
        <w:sz w:val="17"/>
        <w:szCs w:val="17"/>
      </w:rPr>
    </w:pP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560" w:hanging="2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284"/>
    <w:rsid w:val="00003CD6"/>
    <w:rsid w:val="00086E51"/>
    <w:rsid w:val="000912A3"/>
    <w:rsid w:val="00093C5E"/>
    <w:rsid w:val="001026E2"/>
    <w:rsid w:val="00120982"/>
    <w:rsid w:val="0019044D"/>
    <w:rsid w:val="001A71AE"/>
    <w:rsid w:val="001D39A1"/>
    <w:rsid w:val="001D3BDC"/>
    <w:rsid w:val="001E11F9"/>
    <w:rsid w:val="00206745"/>
    <w:rsid w:val="002831F3"/>
    <w:rsid w:val="002857C9"/>
    <w:rsid w:val="002A0628"/>
    <w:rsid w:val="002B0B05"/>
    <w:rsid w:val="002F1422"/>
    <w:rsid w:val="002F6AB6"/>
    <w:rsid w:val="00302A54"/>
    <w:rsid w:val="003466F0"/>
    <w:rsid w:val="00353F40"/>
    <w:rsid w:val="003661D5"/>
    <w:rsid w:val="003A0981"/>
    <w:rsid w:val="003A0AA8"/>
    <w:rsid w:val="003B2F58"/>
    <w:rsid w:val="003C10CE"/>
    <w:rsid w:val="003C43F7"/>
    <w:rsid w:val="003E23D1"/>
    <w:rsid w:val="004073D4"/>
    <w:rsid w:val="004379F1"/>
    <w:rsid w:val="00490D04"/>
    <w:rsid w:val="004A7D00"/>
    <w:rsid w:val="004B09FD"/>
    <w:rsid w:val="004B5C38"/>
    <w:rsid w:val="005118E8"/>
    <w:rsid w:val="00544CA9"/>
    <w:rsid w:val="0059239A"/>
    <w:rsid w:val="005A5284"/>
    <w:rsid w:val="005F3D0A"/>
    <w:rsid w:val="0061255E"/>
    <w:rsid w:val="00620546"/>
    <w:rsid w:val="00634DAD"/>
    <w:rsid w:val="00636FF9"/>
    <w:rsid w:val="0068629D"/>
    <w:rsid w:val="006940FE"/>
    <w:rsid w:val="006A28CB"/>
    <w:rsid w:val="006E576E"/>
    <w:rsid w:val="0074204E"/>
    <w:rsid w:val="00761A1B"/>
    <w:rsid w:val="00762C5A"/>
    <w:rsid w:val="00765BCE"/>
    <w:rsid w:val="00793DF1"/>
    <w:rsid w:val="007A5492"/>
    <w:rsid w:val="007C648E"/>
    <w:rsid w:val="007E2BC0"/>
    <w:rsid w:val="007E5F7A"/>
    <w:rsid w:val="007F5FCF"/>
    <w:rsid w:val="00800724"/>
    <w:rsid w:val="00805D69"/>
    <w:rsid w:val="00820CF8"/>
    <w:rsid w:val="008E7529"/>
    <w:rsid w:val="008F56B5"/>
    <w:rsid w:val="00912E5B"/>
    <w:rsid w:val="0091618B"/>
    <w:rsid w:val="00920C13"/>
    <w:rsid w:val="0092151A"/>
    <w:rsid w:val="009474E2"/>
    <w:rsid w:val="009738E1"/>
    <w:rsid w:val="00974554"/>
    <w:rsid w:val="009761D8"/>
    <w:rsid w:val="0099113A"/>
    <w:rsid w:val="009B0B2F"/>
    <w:rsid w:val="009B2C36"/>
    <w:rsid w:val="00A2521B"/>
    <w:rsid w:val="00A6672B"/>
    <w:rsid w:val="00A7138E"/>
    <w:rsid w:val="00AA6D05"/>
    <w:rsid w:val="00B77D3A"/>
    <w:rsid w:val="00B8046C"/>
    <w:rsid w:val="00B91127"/>
    <w:rsid w:val="00BB29A6"/>
    <w:rsid w:val="00BD3960"/>
    <w:rsid w:val="00CC74EA"/>
    <w:rsid w:val="00CD4BA7"/>
    <w:rsid w:val="00CD7C1F"/>
    <w:rsid w:val="00D154A5"/>
    <w:rsid w:val="00D46E82"/>
    <w:rsid w:val="00D87D55"/>
    <w:rsid w:val="00D93550"/>
    <w:rsid w:val="00D962B3"/>
    <w:rsid w:val="00DB665A"/>
    <w:rsid w:val="00E220A5"/>
    <w:rsid w:val="00E32453"/>
    <w:rsid w:val="00E63812"/>
    <w:rsid w:val="00EC6043"/>
    <w:rsid w:val="00ED0F85"/>
    <w:rsid w:val="00ED4085"/>
    <w:rsid w:val="00EE1FC4"/>
    <w:rsid w:val="00EE2845"/>
    <w:rsid w:val="00EE37BC"/>
    <w:rsid w:val="00EE62FF"/>
    <w:rsid w:val="00FB08CC"/>
    <w:rsid w:val="00FB0B9A"/>
    <w:rsid w:val="00FC74B4"/>
    <w:rsid w:val="00FF7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D5B12"/>
  <w15:docId w15:val="{BE703138-47CD-4218-9972-3B8E0EC0D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FFFFFF"/>
      <w:sz w:val="26"/>
      <w:szCs w:val="26"/>
    </w:rPr>
  </w:style>
  <w:style w:type="paragraph" w:styleId="Heading2">
    <w:name w:val="heading 2"/>
    <w:uiPriority w:val="9"/>
    <w:unhideWhenUsed/>
    <w:qFormat/>
    <w:pPr>
      <w:spacing w:before="240" w:after="80"/>
      <w:outlineLvl w:val="1"/>
    </w:pPr>
    <w:rPr>
      <w:b/>
      <w:bCs/>
      <w:color w:val="0F4B18"/>
      <w:sz w:val="22"/>
      <w:szCs w:val="22"/>
    </w:rPr>
  </w:style>
  <w:style w:type="paragraph" w:styleId="Heading3">
    <w:name w:val="heading 3"/>
    <w:uiPriority w:val="9"/>
    <w:unhideWhenUsed/>
    <w:qFormat/>
    <w:pPr>
      <w:spacing w:before="160" w:after="60"/>
      <w:outlineLvl w:val="2"/>
    </w:pPr>
    <w:rPr>
      <w:b/>
      <w:bCs/>
      <w:color w:val="196B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63812"/>
    <w:pPr>
      <w:tabs>
        <w:tab w:val="center" w:pos="4680"/>
        <w:tab w:val="right" w:pos="9360"/>
      </w:tabs>
    </w:pPr>
  </w:style>
  <w:style w:type="character" w:customStyle="1" w:styleId="HeaderChar">
    <w:name w:val="Header Char"/>
    <w:basedOn w:val="DefaultParagraphFont"/>
    <w:link w:val="Header"/>
    <w:uiPriority w:val="99"/>
    <w:rsid w:val="00E63812"/>
  </w:style>
  <w:style w:type="paragraph" w:styleId="Footer">
    <w:name w:val="footer"/>
    <w:basedOn w:val="Normal"/>
    <w:link w:val="FooterChar"/>
    <w:uiPriority w:val="99"/>
    <w:unhideWhenUsed/>
    <w:rsid w:val="00E63812"/>
    <w:pPr>
      <w:tabs>
        <w:tab w:val="center" w:pos="4680"/>
        <w:tab w:val="right" w:pos="9360"/>
      </w:tabs>
    </w:pPr>
  </w:style>
  <w:style w:type="character" w:customStyle="1" w:styleId="FooterChar">
    <w:name w:val="Footer Char"/>
    <w:basedOn w:val="DefaultParagraphFont"/>
    <w:link w:val="Footer"/>
    <w:uiPriority w:val="99"/>
    <w:rsid w:val="00E638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217</Words>
  <Characters>1255</Characters>
  <Application>Microsoft Office Word</Application>
  <DocSecurity>0</DocSecurity>
  <Lines>48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3</cp:revision>
  <cp:lastPrinted>2026-03-26T14:15:00Z</cp:lastPrinted>
  <dcterms:created xsi:type="dcterms:W3CDTF">2026-04-15T13:05:00Z</dcterms:created>
  <dcterms:modified xsi:type="dcterms:W3CDTF">2026-04-15T13:31:00Z</dcterms:modified>
</cp:coreProperties>
</file>