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B2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MERGE 4 DESIGN LLC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1212 Lobdell Avenue — Site Yield Analysis</w:t>
            </w:r>
          </w:p>
          <w:p>
            <w:r>
              <w:rPr>
                <w:rFonts w:ascii="Arial" w:cs="Arial" w:eastAsia="Arial" w:hAnsi="Arial"/>
                <w:i/>
                <w:iCs/>
                <w:color w:val="A8D5A2"/>
                <w:sz w:val="17"/>
                <w:szCs w:val="17"/>
              </w:rPr>
              <w:t xml:space="preserve">INTERNAL DRAFT — NOT FOR DISTRIBUTION  |  May 2026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96B23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96B23"/>
          <w:sz w:val="26"/>
          <w:szCs w:val="26"/>
        </w:rPr>
        <w:t xml:space="preserve">1. PROJECT INFORMATION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Address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1212 Lobdell Avenue, Wilmington, DE 19801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Parcel Number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2605130241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of Record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Wilmington Neighborhood Conservancy Land Bank Corp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Wilmington Housing Authority (WHA)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Firm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 4 Design LLC (M4D)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David Ainsworth, M4D Predevelopment Lead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 — Internal Draft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96B23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96B23"/>
          <w:sz w:val="26"/>
          <w:szCs w:val="26"/>
        </w:rPr>
        <w:t xml:space="preserve">2. PARCEL DATA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40"/>
        <w:gridCol w:w="4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Frontage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352.60 ft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NCC Parcel Record 2605130241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Depth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175.00 ft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NCC Parcel Record 2605130241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Area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61,705 SF / 1.417 AC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Zoning District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26R-3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of Wilmington Chapter 48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Category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One Family Row Houses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26R-3 permitted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Flood Zone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Zone AE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FEMA FIRM Panel 10003C0156L, eff. 1/22/2020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Flood Elevation (BFE)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8.0 ft NAVD88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FEMA FIRMette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Freeboard Requirement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1.5 ft (18 in)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of Wilmington floodplain ordinance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FFE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9.5 ft NAVD88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BFE 8.0 + freeboard 1.5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96B23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96B23"/>
          <w:sz w:val="26"/>
          <w:szCs w:val="26"/>
        </w:rPr>
        <w:t xml:space="preserve">3. APPLICABLE ZONING STANDARDS — 26R-3 (Base R-3)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40"/>
        <w:gridCol w:w="4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Min. Lot Width — Interior Unit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 ft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 house interior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 Setback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 ft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Build-to line; consistent with row house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Rear Yard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 ft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stories or less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 Yard — Interior Units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 ft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Party wall condition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 Yard — End Units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 ft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end of row; applied to both ends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Max. Building Height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35 ft / 3 stories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R-3 limit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Type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Slab on Grade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Zone AE — slab elevated to min FFE 9.5 ft NAVD88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96B23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96B23"/>
          <w:sz w:val="26"/>
          <w:szCs w:val="26"/>
        </w:rPr>
        <w:t xml:space="preserve">4. SITE YIELD ANALYSIS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Net buildable frontage is calculated after deducting end unit side yards from gross frontage. Rear yard is deducted from gross depth to establish buildable depth. Two lot-width scenarios are evaluated per WHA direction.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140"/>
        <w:gridCol w:w="314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A — 18 ft Lots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B — 20 ft Lots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Frontage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352.60 ft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352.60 ft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 Unit Side Yards (deducted)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ft (2 × 5 ft)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ft (2 × 5 ft)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Buildable Frontage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342.60 ft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342.60 ft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 Width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ft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ft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Count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 units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 units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Depth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175 ft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175 ft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Rear Yard (deducted)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ft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ft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Buildable Depth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155 ft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155 ft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Attached Garage Depth (est.)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ft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ft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Habitable Building Depth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~135 ft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~135 ft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Footprint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2,430 SF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2,700 SF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Est. GFA / Unit (2-story)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~4,860 SF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~5,400 SF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96B23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96B23"/>
          <w:sz w:val="26"/>
          <w:szCs w:val="26"/>
        </w:rPr>
        <w:t xml:space="preserve">5. ROM COST SUMMARY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ROM unit cost range: $240,000 – $270,000 per unit. Range reflects M4Di G0 benchmark for fee-simple townhouse construction in the Wilmington corridor, inclusive of hard costs, soft costs, and predevelopment. Zone AE fill premium not yet incorporated — see flags below.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20"/>
        <w:gridCol w:w="1620"/>
        <w:gridCol w:w="1820"/>
        <w:gridCol w:w="18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 Low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 High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B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 Midpoint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Scenario A — 18 ft Lots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$4,560,000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$5,130,000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$4,845,000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Scenario B — 20 ft Lots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$4,080,000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$4,590,000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$4,335,000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ROM confidence level: G0 (order-of-magnitude). Confidence range ±30%. Suitable for feasibility and grant narrative purposes. Not for use in financing commitments or contractor solicitation without further development.</w:t>
      </w:r>
    </w:p>
    <w:p>
      <w:pPr>
        <w:spacing w:after="0" w:before="160"/>
      </w:pPr>
      <w:r>
        <w:t xml:space="preserve"/>
      </w:r>
    </w:p>
    <w:p>
      <w:pPr>
        <w:pBdr>
          <w:bottom w:val="single" w:color="196B23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96B23"/>
          <w:sz w:val="26"/>
          <w:szCs w:val="26"/>
        </w:rPr>
        <w:t xml:space="preserve">6. FLAGS &amp; OPEN ITEMS</w:t>
      </w:r>
    </w:p>
    <w:p>
      <w:pPr>
        <w:spacing w:after="0" w:before="80"/>
      </w:pPr>
      <w:r>
        <w:t xml:space="preserve"/>
      </w:r>
    </w:p>
    <w:p>
      <w:pPr>
        <w:pBdr>
          <w:left w:val="single" w:color="FFC107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5A00"/>
          <w:sz w:val="19"/>
          <w:szCs w:val="19"/>
        </w:rPr>
        <w:t xml:space="preserve">FLAG 1 — Zone AE Fill Premium: Existing grade elevation at the Lobdell parcel has not been confirmed. If grade is below min FFE 9.5 ft NAVD88, engineered fill is required. Estimated cost impact: $8,000 – $20,000 per unit depending on cut-to-grade differential. A survey elevation must be obtained before ROM is advanced to G1.</w:t>
      </w:r>
    </w:p>
    <w:p>
      <w:pPr>
        <w:spacing w:after="0" w:before="80"/>
      </w:pPr>
      <w:r>
        <w:t xml:space="preserve"/>
      </w:r>
    </w:p>
    <w:p>
      <w:pPr>
        <w:pBdr>
          <w:left w:val="single" w:color="FFC107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5A00"/>
          <w:sz w:val="19"/>
          <w:szCs w:val="19"/>
        </w:rPr>
        <w:t xml:space="preserve">FLAG 2 — Parcel Address Discrepancy: NCC parcel record lists address as 1210 Lobdell St. Project reference is 1212 Lobdell Ave. Confirm correct address of record with WHA before any permit or grant submission.</w:t>
      </w:r>
    </w:p>
    <w:p>
      <w:pPr>
        <w:spacing w:after="0" w:before="80"/>
      </w:pPr>
      <w:r>
        <w:t xml:space="preserve"/>
      </w:r>
    </w:p>
    <w:p>
      <w:pPr>
        <w:pBdr>
          <w:left w:val="single" w:color="FFC107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5A00"/>
          <w:sz w:val="19"/>
          <w:szCs w:val="19"/>
        </w:rPr>
        <w:t xml:space="preserve">FLAG 3 — Zoning Standards — Verification Required: 26R-3 dimensional standards applied from base R-3 (Ch. 48). Min lot width (16 ft), front setback (0 ft), and side yard (5 ft end unit) should be confirmed directly against current Chapter 48 text prior to permit application.</w:t>
      </w:r>
    </w:p>
    <w:p>
      <w:pPr>
        <w:spacing w:after="0" w:before="80"/>
      </w:pPr>
      <w:r>
        <w:t xml:space="preserve"/>
      </w:r>
    </w:p>
    <w:p>
      <w:pPr>
        <w:pBdr>
          <w:left w:val="single" w:color="FFC107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5A00"/>
          <w:sz w:val="19"/>
          <w:szCs w:val="19"/>
        </w:rPr>
        <w:t xml:space="preserve">FLAG 4 — Parcel Configuration: This analysis assumes a single linear row of townhouses along the full Lobdell Ave frontage. WHA's 30-unit target suggests the parcel may support a more complex layout (double-loaded rows, rear alley access, or secondary row). Full site plan study required to evaluate configurations beyond this baseline.</w:t>
      </w:r>
    </w:p>
    <w:p>
      <w:pPr>
        <w:spacing w:after="0" w:before="80"/>
      </w:pPr>
      <w:r>
        <w:t xml:space="preserve"/>
      </w:r>
    </w:p>
    <w:p>
      <w:pPr>
        <w:pBdr>
          <w:left w:val="single" w:color="FFC107" w:sz="12" w:space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5A00"/>
          <w:sz w:val="19"/>
          <w:szCs w:val="19"/>
        </w:rPr>
        <w:t xml:space="preserve">FLAG 5 — NFIP Compliance: Zone AE designation requires NFIP-compliant construction. Flood insurance will be mandatory for any federally-backed buyer financing. Disclose to WHA for homebuyer program planning.</w:t>
      </w:r>
    </w:p>
    <w:p>
      <w:pPr>
        <w:spacing w:after="0" w:before="160"/>
      </w:pPr>
      <w:r>
        <w:t xml:space="preserve"/>
      </w:r>
    </w:p>
    <w:p>
      <w:pPr>
        <w:pBdr>
          <w:bottom w:val="single" w:color="196B23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96B23"/>
          <w:sz w:val="26"/>
          <w:szCs w:val="26"/>
        </w:rPr>
        <w:t xml:space="preserve">7. NEXT STEPS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Obtain survey elevation at Lobdel parcel — confirm existing grade vs. BFE 9.5 ft NAVD88 min FFE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Confirm parcel address of record with WHA (1210 vs. 1212; St. vs. Ave.)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26R-3 dimensional standards directly against current Ch. 48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Advance site plan study to evaluate double-loaded or multi-row configurations toward WHA 30-unit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Advance ROM to G1 once survey elevation confirmed and site layout resolved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Incorporate Zone AE fill premium into G1 ROM once grade delta is known</w:t>
      </w:r>
    </w:p>
    <w:p>
      <w:pPr>
        <w:spacing w:after="0" w:before="200"/>
      </w:pPr>
      <w:r>
        <w:t xml:space="preserve"/>
      </w:r>
    </w:p>
    <w:p>
      <w:pPr>
        <w:pBdr>
          <w:top w:val="single" w:color="196B23" w:sz="6" w:space="4"/>
        </w:pBdr>
        <w:spacing w:before="1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INTERNAL DRAFT — M4D WORKING DOCUMENT — NOT FOR CLIENT DISTRIBUTION  |  Merge 4 Design LLC  |  215 N. Market Street, Suite 317, Wilmington, DE 19801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2026-05-05T02:34:13.255Z</dcterms:created>
  <dcterms:modified xsi:type="dcterms:W3CDTF">2026-05-05T02:34:13.256Z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