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60" w:after="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9360"/>
      </w:tblGrid>
      <w:tr>
        <w:tc>
          <w:tcPr>
            <w:tcW w:w="9360" w:type="dxa"/>
            <w:tcBorders>
              <w:top w:val="none" w:sz="0" w:space="0" w:color="FFFFFF"/>
              <w:left w:val="none" w:sz="0" w:space="0" w:color="FFFFFF"/>
              <w:bottom w:val="none" w:sz="0" w:space="0" w:color="FFFFFF"/>
              <w:right w:val="none" w:sz="0" w:space="0" w:color="FFFFFF"/>
            </w:tcBorders>
            <w:shd w:val="clear" w:color="auto" w:fill="CCCCCC"/>
            <w:tcMar>
              <w:top w:w="160" w:type="dxa"/>
              <w:left w:w="180" w:type="dxa"/>
              <w:bottom w:w="160" w:type="dxa"/>
              <w:right w:w="180" w:type="dxa"/>
            </w:tcMar>
          </w:tcPr>
          <w:p>
            <w:pPr>
              <w:spacing w:before="140" w:after="60"/>
              <w:jc w:val="center"/>
            </w:pPr>
            <w:r>
              <w:rPr>
                <w:b/>
                <w:bCs/>
                <w:color w:val="2E7D32"/>
                <w:sz w:val="29"/>
                <w:szCs w:val="29"/>
              </w:rPr>
              <w:t>PROFESSIONAL FEE PROPOSAL</w:t>
            </w:r>
          </w:p>
          <w:p>
            <w:pPr>
              <w:spacing w:before="0" w:after="80"/>
              <w:jc w:val="center"/>
            </w:pPr>
            <w:r>
              <w:rPr>
                <w:b/>
                <w:bCs/>
                <w:color w:val="1F2937"/>
                <w:sz w:val="35"/>
                <w:szCs w:val="35"/>
              </w:rPr>
              <w:t xml:space="preserve">1212 Lobdel Avenue — Attainable Homeownership Development</w:t>
            </w:r>
          </w:p>
          <w:p>
            <w:pPr>
              <w:spacing w:before="0" w:after="140"/>
              <w:jc w:val="center"/>
            </w:pPr>
            <w:r>
              <w:rPr>
                <w:color w:val="2E7D32"/>
                <w:sz w:val="24"/>
                <w:szCs w:val="24"/>
              </w:rPr>
              <w:t xml:space="preserve">Wilmington, DE  ·  Predevelopment Intelligence Services  ·  April 23, 2026</w:t>
            </w:r>
          </w:p>
        </w:tc>
      </w:tr>
    </w:tbl>
    <w:p>
      <w:pPr>
        <w:spacing w:before="220" w:after="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2880"/>
        <w:gridCol w:w="6480"/>
      </w:tblGrid>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Submitted To</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Wilmington Housing Authority (WHA)  ·  Wilmington, DE</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Submitted By</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Merge 4 Design LLC (M4D)  ·  500 Delaware Ave., Suite 1 #1551, Wilmington, DE 19899  ·  302 367 5726  ·  merge4design.com</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Date Submitted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April 23, 2026</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Project Reference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M2_2026_005  ·  1212 Lobdel Avenue</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Proposal Valid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90 days from submission date</w:t>
            </w:r>
          </w:p>
        </w:tc>
      </w:tr>
    </w:tbl>
    <w:p>
      <w:r>
        <w:br w:type="page"/>
      </w:r>
    </w:p>
    <w:p>
      <w:pPr>
        <w:shd w:val="clear" w:color="auto" w:fill="CCCCCC"/>
        <w:spacing w:before="0" w:after="0"/>
      </w:pPr>
      <w:r>
        <w:rPr>
          <w:b/>
          <w:bCs/>
          <w:color w:val="444444"/>
          <w:sz w:val="29"/>
          <w:szCs w:val="29"/>
        </w:rPr>
        <w:t xml:space="preserve">01.  Project Identification</w:t>
      </w:r>
    </w:p>
    <w:p>
      <w:pPr>
        <w:spacing w:before="80" w:after="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2880"/>
        <w:gridCol w:w="6480"/>
      </w:tblGrid>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Project Name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1212 Lobdel Avenue — Attainable Homeownership Development</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Parcel 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2605130241</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Address</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1212 Lobdel Avenue, Wilmington, DE  (City of Wilmington limits)</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Client / Owner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Wilmington Housing Authority (WHA)</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Project Lead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Merge 4 Design LLC (M4D)</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Zoning Jurisdiction</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City of Wilmington Zoning Ordinance, Chapter 48 — R-3 District</w:t>
            </w:r>
          </w:p>
        </w:tc>
      </w:tr>
      <w:tr>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right"/>
            </w:pPr>
            <w:r>
              <w:rPr>
                <w:b/>
                <w:bCs/>
                <w:color w:val="444444"/>
                <w:sz w:val="19"/>
                <w:szCs w:val="19"/>
              </w:rPr>
              <w:t>M4D Project Number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M2_2026_005  ·  April 23, 2026</w:t>
            </w:r>
          </w:p>
        </w:tc>
      </w:tr>
    </w:tbl>
    <w:p>
      <w:r>
        <w:br w:type="page"/>
      </w:r>
    </w:p>
    <w:p>
      <w:pPr>
        <w:shd w:val="clear" w:color="auto" w:fill="CCCCCC"/>
        <w:spacing w:before="0" w:after="0"/>
      </w:pPr>
      <w:r>
        <w:rPr>
          <w:b/>
          <w:bCs/>
          <w:color w:val="444444"/>
          <w:sz w:val="29"/>
          <w:szCs w:val="29"/>
        </w:rPr>
        <w:t xml:space="preserve">02.  Project Context</w:t>
      </w:r>
    </w:p>
    <w:p>
      <w:pPr>
        <w:spacing w:before="80" w:after="0"/>
      </w:pPr>
    </w:p>
    <w:p>
      <w:pPr>
        <w:spacing w:before="40" w:after="80"/>
      </w:pPr>
      <w:r>
        <w:rPr>
          <w:color w:val="1F2937"/>
          <w:sz w:val="21"/>
          <w:szCs w:val="21"/>
        </w:rPr>
        <w:t>1212 Lobdel Avenue is a 1.39-acre cleared infill site within the City of Wilmington, zoned R-3 (One-Family Row Houses, Chapter 48). The site is targeted for 30 or more units of for-sale attainable homeownership under WHA’s homeownership program, with a target sale price of $200,000–$235,000 per home at 80% AMI.</w:t>
      </w:r>
    </w:p>
    <w:p>
      <w:pPr>
        <w:spacing w:before="40" w:after="80"/>
      </w:pPr>
      <w:r>
        <w:rPr>
          <w:color w:val="1F2937"/>
          <w:sz w:val="21"/>
          <w:szCs w:val="21"/>
        </w:rPr>
        <w:t xml:space="preserve">WHA has confirmed a preference for fee-simple individual lot ownership with standard deeds — the appropriate structure for first-time homebuyer FHA and conventional financing. M4D’s predevelopment scope delivers the full analysis needed to bring WHA to an informed yield configuration and construction type decision within a four-week engagement.</w:t>
      </w:r>
    </w:p>
    <w:p>
      <w:pPr>
        <w:spacing w:before="40" w:after="80"/>
      </w:pPr>
      <w:r>
        <w:rPr>
          <w:color w:val="1F2937"/>
          <w:sz w:val="21"/>
          <w:szCs w:val="21"/>
        </w:rPr>
        <w:t xml:space="preserve">Track B — Architecture and Engineering — is scoped and priced in Section 03 for WHA’s planning purposes and will be authorized separately upon written selection of yield scenario and construction type.</w:t>
      </w:r>
    </w:p>
    <w:p>
      <w:r>
        <w:br w:type="page"/>
      </w:r>
    </w:p>
    <w:p>
      <w:pPr>
        <w:shd w:val="clear" w:color="auto" w:fill="CCCCCC"/>
        <w:spacing w:before="0" w:after="0"/>
      </w:pPr>
      <w:r>
        <w:rPr>
          <w:b/>
          <w:bCs/>
          <w:color w:val="444444"/>
          <w:sz w:val="29"/>
          <w:szCs w:val="29"/>
        </w:rPr>
        <w:t xml:space="preserve">03.  Scope of Services &amp; Fee</w:t>
      </w:r>
    </w:p>
    <w:p>
      <w:pPr>
        <w:spacing w:before="80" w:after="0"/>
      </w:pPr>
    </w:p>
    <w:p>
      <w:pPr>
        <w:spacing w:before="40" w:after="80"/>
      </w:pPr>
      <w:r>
        <w:rPr>
          <w:color w:val="1F2937"/>
          <w:sz w:val="21"/>
          <w:szCs w:val="21"/>
        </w:rPr>
        <w:t xml:space="preserve">M4D proposes services in two tracks. Track A — Predevelopment Intelligence — is authorized as a standalone fixed-fee engagement and delivered within four weeks. Track B — Architecture &amp; Engineering — is authorized separately upon WHA’s written selection of yield option and construction type.</w:t>
      </w:r>
    </w:p>
    <w:p>
      <w:pPr>
        <w:spacing w:before="80" w:after="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9360"/>
      </w:tblGrid>
      <w:tr>
        <w:tc>
          <w:tcPr>
            <w:tcW w:w="9360" w:type="dxa"/>
            <w:tcBorders>
              <w:top w:val="single" w:sz="14" w:space="0" w:color="2E7D32"/>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pPr>
              <w:spacing w:before="0" w:after="60"/>
            </w:pPr>
            <w:r>
              <w:rPr>
                <w:b/>
                <w:bCs/>
                <w:color w:val="444444"/>
                <w:sz w:val="20"/>
                <w:szCs w:val="20"/>
              </w:rPr>
              <w:t xml:space="preserve">WHA Program Additions — Incorporated into Track A Scope</w:t>
            </w:r>
          </w:p>
          <w:p>
            <w:pPr>
              <w:spacing w:before="0" w:after="50"/>
            </w:pPr>
            <w:r>
              <w:rPr>
                <w:b/>
                <w:bCs/>
                <w:color w:val="444444"/>
                <w:sz w:val="20"/>
                <w:szCs w:val="20"/>
              </w:rPr>
              <w:t xml:space="preserve">Unit width targets: </w:t>
            </w:r>
            <w:r>
              <w:rPr>
                <w:color w:val="1F2937"/>
                <w:sz w:val="20"/>
                <w:szCs w:val="20"/>
              </w:rPr>
              <w:t>WHA has requested that yield analysis prioritize 18 ft and 20 ft wide lot configurations across all yield options (Options B, A+FW12, and D). Both widths will be carried through the construction cost matrix and site plan yield study.</w:t>
            </w:r>
          </w:p>
          <w:p>
            <w:pPr>
              <w:spacing w:before="0" w:after="50"/>
            </w:pPr>
            <w:r>
              <w:rPr>
                <w:b/>
                <w:bCs/>
                <w:color w:val="444444"/>
                <w:sz w:val="20"/>
                <w:szCs w:val="20"/>
              </w:rPr>
              <w:t xml:space="preserve">Rear attached garage with occupiable roof deck: </w:t>
            </w:r>
            <w:r>
              <w:rPr>
                <w:color w:val="1F2937"/>
                <w:sz w:val="20"/>
                <w:szCs w:val="20"/>
              </w:rPr>
              <w:t>WHA has requested inclusion of a rear attached garage typology with the garage roof deck programmed as occupiable outdoor space accessed directly from the second-level living area. This adds a meaningful square footage premium and private outdoor amenity to each unit without increasing lot footprint, and will be carried as a distinct line item in the construction type matrix.</w:t>
            </w:r>
          </w:p>
          <w:p>
            <w:pPr>
              <w:spacing w:before="0" w:after="0"/>
            </w:pPr>
            <w:r>
              <w:rPr>
                <w:b/>
                <w:bCs/>
                <w:color w:val="444444"/>
                <w:sz w:val="20"/>
                <w:szCs w:val="20"/>
              </w:rPr>
              <w:t xml:space="preserve">Roofline variety study: </w:t>
            </w:r>
            <w:r>
              <w:rPr>
                <w:color w:val="1F2937"/>
                <w:sz w:val="20"/>
                <w:szCs w:val="20"/>
              </w:rPr>
              <w:t xml:space="preserve">WHA’s baseline preference is a standard A-shaped gable roof. The 3D site yield study will present a full range of roofline profiles within the 35 ft R-3 height limit — gable, shed, hip, and flat/garden roof — with the flat garden roof option specifically targeted at or near the same ROM price point as the traditional gable. All roofline options will be carried across both 18 ft and 20 ft wide unit widths on a 2-story footprint.</w:t>
            </w:r>
          </w:p>
        </w:tc>
      </w:tr>
    </w:tbl>
    <w:p>
      <w:pPr>
        <w:spacing w:before="80" w:after="0"/>
      </w:pPr>
    </w:p>
    <w:p>
      <w:pPr>
        <w:pBdr>
          <w:bottom w:val="single" w:sz="6" w:space="1" w:color="2E7D32"/>
        </w:pBdr>
        <w:spacing w:before="180" w:after="80"/>
      </w:pPr>
      <w:r>
        <w:rPr>
          <w:b/>
          <w:bCs/>
          <w:color w:val="2E7D32"/>
          <w:sz w:val="24"/>
          <w:szCs w:val="24"/>
        </w:rPr>
        <w:t xml:space="preserve">3.1  Track A — Predevelopment Intelligence  (Fixed Fee: $16,235)</w:t>
      </w:r>
    </w:p>
    <w:p>
      <w:pPr>
        <w:spacing w:before="0" w:after="60"/>
      </w:pPr>
      <w:r>
        <w:rPr>
          <w:i/>
          <w:iCs/>
          <w:color w:val="888888"/>
          <w:sz w:val="19"/>
          <w:szCs w:val="19"/>
        </w:rPr>
        <w:t>The table below is the single combined scope, schedule, and fee reference for Track A.</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340"/>
        <w:gridCol w:w="3340"/>
        <w:gridCol w:w="1300"/>
        <w:gridCol w:w="1260"/>
        <w:gridCol w:w="660"/>
        <w:gridCol w:w="1300"/>
        <w:gridCol w:w="1160"/>
      </w:tblGrid>
      <w:tr>
        <w:tc>
          <w:tcPr>
            <w:tcW w:w="34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Item</w:t>
            </w:r>
          </w:p>
        </w:tc>
        <w:tc>
          <w:tcPr>
            <w:tcW w:w="334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 xml:space="preserve">Deliverable — Description</w:t>
            </w:r>
          </w:p>
        </w:tc>
        <w:tc>
          <w:tcPr>
            <w:tcW w:w="130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Format</w:t>
            </w:r>
          </w:p>
        </w:tc>
        <w:tc>
          <w:tcPr>
            <w:tcW w:w="126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Schedule</w:t>
            </w:r>
          </w:p>
        </w:tc>
        <w:tc>
          <w:tcPr>
            <w:tcW w:w="66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Hrs</w:t>
            </w:r>
          </w:p>
        </w:tc>
        <w:tc>
          <w:tcPr>
            <w:tcW w:w="130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Rate</w:t>
            </w:r>
          </w:p>
        </w:tc>
        <w:tc>
          <w:tcPr>
            <w:tcW w:w="116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Fee</w:t>
            </w:r>
          </w:p>
        </w:tc>
      </w:tr>
      <w:tr>
        <w:tc>
          <w:tcPr>
            <w:tcW w:w="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A1</w:t>
            </w:r>
          </w:p>
        </w:tc>
        <w:tc>
          <w:tcPr>
            <w:tcW w:w="3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Site Assessment — parcel confirmation, Chapter 48 R-3 zoning analysis, applicable code standards and overlays</w:t>
            </w:r>
          </w:p>
        </w:tc>
        <w:tc>
          <w:tcPr>
            <w:tcW w:w="13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Memo</w:t>
            </w:r>
          </w:p>
        </w:tc>
        <w:tc>
          <w:tcPr>
            <w:tcW w:w="12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Wk 1</w:t>
            </w:r>
          </w:p>
        </w:tc>
        <w:tc>
          <w:tcPr>
            <w:tcW w:w="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18</w:t>
            </w:r>
          </w:p>
        </w:tc>
        <w:tc>
          <w:tcPr>
            <w:tcW w:w="13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$185</w:t>
            </w:r>
          </w:p>
        </w:tc>
        <w:tc>
          <w:tcPr>
            <w:tcW w:w="1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$3,330</w:t>
            </w:r>
          </w:p>
        </w:tc>
      </w:tr>
      <w:tr>
        <w:tc>
          <w:tcPr>
            <w:tcW w:w="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A2</w:t>
            </w:r>
          </w:p>
        </w:tc>
        <w:tc>
          <w:tcPr>
            <w:tcW w:w="3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 xml:space="preserve">Yield Scenario Analysis — fee-simple lot configurations for 18 ft and 20 ft wide units across Options B, A+FW12, and D; regulatory envelope confirmation</w:t>
            </w:r>
          </w:p>
        </w:tc>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Report + Plans</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Wk 1</w:t>
            </w:r>
          </w:p>
        </w:tc>
        <w:tc>
          <w:tcPr>
            <w:tcW w:w="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24</w:t>
            </w:r>
          </w:p>
        </w:tc>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$185</w:t>
            </w:r>
          </w:p>
        </w:tc>
        <w:tc>
          <w:tcPr>
            <w:tcW w:w="1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$4,440</w:t>
            </w:r>
          </w:p>
        </w:tc>
      </w:tr>
      <w:tr>
        <w:tc>
          <w:tcPr>
            <w:tcW w:w="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A3</w:t>
            </w:r>
          </w:p>
        </w:tc>
        <w:tc>
          <w:tcPr>
            <w:tcW w:w="3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Construction Type Matrix — four systems (CLT/SIP-Hybrid, Off-Site Modular, Stick-Build, Garage-Base/Garden Roof) across all yield options and both unit widths; per-unit cost and gap analysis; rear garage typology as discrete add-alternate</w:t>
            </w:r>
          </w:p>
        </w:tc>
        <w:tc>
          <w:tcPr>
            <w:tcW w:w="13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Matrix Report</w:t>
            </w:r>
          </w:p>
        </w:tc>
        <w:tc>
          <w:tcPr>
            <w:tcW w:w="12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Wk 1–2</w:t>
            </w:r>
          </w:p>
        </w:tc>
        <w:tc>
          <w:tcPr>
            <w:tcW w:w="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8</w:t>
            </w:r>
          </w:p>
        </w:tc>
        <w:tc>
          <w:tcPr>
            <w:tcW w:w="13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$185</w:t>
            </w:r>
          </w:p>
        </w:tc>
        <w:tc>
          <w:tcPr>
            <w:tcW w:w="1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$1,480</w:t>
            </w:r>
          </w:p>
        </w:tc>
      </w:tr>
      <w:tr>
        <w:tc>
          <w:tcPr>
            <w:tcW w:w="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A4</w:t>
            </w:r>
          </w:p>
        </w:tc>
        <w:tc>
          <w:tcPr>
            <w:tcW w:w="3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 xml:space="preserve">Sustainability Add-Alternate — geothermal HVAC (shared bore field), community solar PV aisle canopy, rainwater harvesting; PACE financing and virtual net metering applicability</w:t>
            </w:r>
          </w:p>
        </w:tc>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Analysis Memo</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Wk 2</w:t>
            </w:r>
          </w:p>
        </w:tc>
        <w:tc>
          <w:tcPr>
            <w:tcW w:w="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6</w:t>
            </w:r>
          </w:p>
        </w:tc>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$185</w:t>
            </w:r>
          </w:p>
        </w:tc>
        <w:tc>
          <w:tcPr>
            <w:tcW w:w="1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$1,110</w:t>
            </w:r>
          </w:p>
        </w:tc>
      </w:tr>
      <w:tr>
        <w:tc>
          <w:tcPr>
            <w:tcW w:w="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A5</w:t>
            </w:r>
          </w:p>
        </w:tc>
        <w:tc>
          <w:tcPr>
            <w:tcW w:w="3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3D Site Yield Study &amp; Visualization — massing studies for all yield options across 18 ft and 20 ft widths; full roofline profile study (gable, shed, hip, flat/garden roof) within 35 ft height limit; flat garden roof cost-parity analysis; solar access analysis; photorealistic perspectives</w:t>
            </w:r>
          </w:p>
        </w:tc>
        <w:tc>
          <w:tcPr>
            <w:tcW w:w="13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3D + Site Plan</w:t>
            </w:r>
          </w:p>
        </w:tc>
        <w:tc>
          <w:tcPr>
            <w:tcW w:w="12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Wk 2–3</w:t>
            </w:r>
          </w:p>
        </w:tc>
        <w:tc>
          <w:tcPr>
            <w:tcW w:w="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12</w:t>
            </w:r>
          </w:p>
        </w:tc>
        <w:tc>
          <w:tcPr>
            <w:tcW w:w="13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$165</w:t>
            </w:r>
          </w:p>
        </w:tc>
        <w:tc>
          <w:tcPr>
            <w:tcW w:w="1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$1,980</w:t>
            </w:r>
          </w:p>
        </w:tc>
      </w:tr>
      <w:tr>
        <w:tc>
          <w:tcPr>
            <w:tcW w:w="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A6</w:t>
            </w:r>
          </w:p>
        </w:tc>
        <w:tc>
          <w:tcPr>
            <w:tcW w:w="3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 xml:space="preserve">WHA Presentation Package — all yield options, unit widths, roofline profiles, construction cost matrix, sustainability options, subsidy gap analysis (PPTX + PDF)</w:t>
            </w:r>
          </w:p>
        </w:tc>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Presentation</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Wk 3–4</w:t>
            </w:r>
          </w:p>
        </w:tc>
        <w:tc>
          <w:tcPr>
            <w:tcW w:w="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10</w:t>
            </w:r>
          </w:p>
        </w:tc>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$165</w:t>
            </w:r>
          </w:p>
        </w:tc>
        <w:tc>
          <w:tcPr>
            <w:tcW w:w="1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$1,650</w:t>
            </w:r>
          </w:p>
        </w:tc>
      </w:tr>
      <w:tr>
        <w:tc>
          <w:tcPr>
            <w:tcW w:w="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A7</w:t>
            </w:r>
          </w:p>
        </w:tc>
        <w:tc>
          <w:tcPr>
            <w:tcW w:w="33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Subsidy Gap &amp; Grant Program Memo — Delaware Catalyst Fund, HOME, DSHA program fit; per-unit gap analysis by option</w:t>
            </w:r>
          </w:p>
        </w:tc>
        <w:tc>
          <w:tcPr>
            <w:tcW w:w="13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Memo</w:t>
            </w:r>
          </w:p>
        </w:tc>
        <w:tc>
          <w:tcPr>
            <w:tcW w:w="12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Wk 3</w:t>
            </w:r>
          </w:p>
        </w:tc>
        <w:tc>
          <w:tcPr>
            <w:tcW w:w="6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8</w:t>
            </w:r>
          </w:p>
        </w:tc>
        <w:tc>
          <w:tcPr>
            <w:tcW w:w="13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$165</w:t>
            </w:r>
          </w:p>
        </w:tc>
        <w:tc>
          <w:tcPr>
            <w:tcW w:w="1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$1,320</w:t>
            </w:r>
          </w:p>
        </w:tc>
      </w:tr>
      <w:tr>
        <w:tc>
          <w:tcPr>
            <w:tcW w:w="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A8</w:t>
            </w:r>
          </w:p>
        </w:tc>
        <w:tc>
          <w:tcPr>
            <w:tcW w:w="3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 xml:space="preserve">Gate 0 ROM Lock — cost estimates reconciled and locked; ALDDB entry initiated</w:t>
            </w:r>
          </w:p>
        </w:tc>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Summary</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Wk 4</w:t>
            </w:r>
          </w:p>
        </w:tc>
        <w:tc>
          <w:tcPr>
            <w:tcW w:w="6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5</w:t>
            </w:r>
          </w:p>
        </w:tc>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$185</w:t>
            </w:r>
          </w:p>
        </w:tc>
        <w:tc>
          <w:tcPr>
            <w:tcW w:w="1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$925</w:t>
            </w:r>
          </w:p>
        </w:tc>
      </w:tr>
      <w:tr>
        <w:tc>
          <w:tcPr>
            <w:tcW w:w="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
            </w:r>
          </w:p>
        </w:tc>
        <w:tc>
          <w:tcPr>
            <w:tcW w:w="33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 xml:space="preserve">TRACK A TOTAL — FIXED FEE</w:t>
            </w:r>
          </w:p>
        </w:tc>
        <w:tc>
          <w:tcPr>
            <w:tcW w:w="13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
            </w:r>
          </w:p>
        </w:tc>
        <w:tc>
          <w:tcPr>
            <w:tcW w:w="12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4 weeks</w:t>
            </w:r>
          </w:p>
        </w:tc>
        <w:tc>
          <w:tcPr>
            <w:tcW w:w="6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91 hrs</w:t>
            </w:r>
          </w:p>
        </w:tc>
        <w:tc>
          <w:tcPr>
            <w:tcW w:w="13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 xml:space="preserve">—</w:t>
            </w:r>
          </w:p>
        </w:tc>
        <w:tc>
          <w:tcPr>
            <w:tcW w:w="1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$16,235</w:t>
            </w:r>
          </w:p>
        </w:tc>
      </w:tr>
    </w:tbl>
    <w:p>
      <w:pPr>
        <w:spacing w:before="100" w:after="0"/>
      </w:pPr>
    </w:p>
    <w:p>
      <w:pPr>
        <w:pBdr>
          <w:bottom w:val="single" w:sz="6" w:space="1" w:color="2E7D32"/>
        </w:pBdr>
        <w:spacing w:before="180" w:after="80"/>
      </w:pPr>
      <w:r>
        <w:rPr>
          <w:b/>
          <w:bCs/>
          <w:color w:val="2E7D32"/>
          <w:sz w:val="24"/>
          <w:szCs w:val="24"/>
        </w:rPr>
        <w:t xml:space="preserve">3.2  Track B — Architecture &amp; Engineering  (Authorized Separately)</w:t>
      </w:r>
    </w:p>
    <w:p>
      <w:pPr>
        <w:spacing w:before="40" w:after="80"/>
      </w:pPr>
      <w:r>
        <w:rPr>
          <w:color w:val="1F2937"/>
          <w:sz w:val="21"/>
          <w:szCs w:val="21"/>
        </w:rPr>
        <w:t>Fees below are based on the 36-unit baseline. Yield Option D (54 units) or a rear garage typology addition will be subject to a fee addendum. Subconsultants (Civil, Structural, MEP) are not included; budget approximately 12% of construction cost.</w:t>
      </w:r>
    </w:p>
    <w:p>
      <w:pPr>
        <w:spacing w:before="60" w:after="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900"/>
        <w:gridCol w:w="4860"/>
        <w:gridCol w:w="1440"/>
        <w:gridCol w:w="2160"/>
      </w:tblGrid>
      <w:tr>
        <w:tc>
          <w:tcPr>
            <w:tcW w:w="90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Phase</w:t>
            </w:r>
          </w:p>
        </w:tc>
        <w:tc>
          <w:tcPr>
            <w:tcW w:w="486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Scope</w:t>
            </w:r>
          </w:p>
        </w:tc>
        <w:tc>
          <w:tcPr>
            <w:tcW w:w="144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Basis</w:t>
            </w:r>
          </w:p>
        </w:tc>
        <w:tc>
          <w:tcPr>
            <w:tcW w:w="216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Fee</w:t>
            </w:r>
          </w:p>
        </w:tc>
      </w:tr>
      <w:tr>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B1</w:t>
            </w:r>
          </w:p>
        </w:tc>
        <w:tc>
          <w:tcPr>
            <w:tcW w:w="48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Schematic Design — selected yield option and unit width; roofline profiles; unit plan types; 3D visualizations; site plan</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Lump Sum</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$11,700</w:t>
            </w:r>
          </w:p>
        </w:tc>
      </w:tr>
      <w:tr>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B2</w:t>
            </w:r>
          </w:p>
        </w:tc>
        <w:tc>
          <w:tcPr>
            <w:tcW w:w="48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 xml:space="preserve">Design Development — system coordination; structural and panel coordination</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Lump Sum</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$17,550</w:t>
            </w:r>
          </w:p>
        </w:tc>
      </w:tr>
      <w:tr>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B3</w:t>
            </w:r>
          </w:p>
        </w:tc>
        <w:tc>
          <w:tcPr>
            <w:tcW w:w="48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Construction Documents — permit-ready stamped set</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Lump Sum</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$35,100</w:t>
            </w:r>
          </w:p>
        </w:tc>
      </w:tr>
      <w:tr>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B4</w:t>
            </w:r>
          </w:p>
        </w:tc>
        <w:tc>
          <w:tcPr>
            <w:tcW w:w="48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 xml:space="preserve">Permitting &amp; AHJ Coordination — City of Wilmington permit submission; plan review response</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Hourly NTE</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$5,250</w:t>
            </w:r>
          </w:p>
        </w:tc>
      </w:tr>
      <w:tr>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B5</w:t>
            </w:r>
          </w:p>
        </w:tc>
        <w:tc>
          <w:tcPr>
            <w:tcW w:w="48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Construction Administration — site observation; RFI/submittal review; punch list</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Hourly NTE</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$9,450</w:t>
            </w:r>
          </w:p>
        </w:tc>
      </w:tr>
      <w:tr>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B6</w:t>
            </w:r>
          </w:p>
        </w:tc>
        <w:tc>
          <w:tcPr>
            <w:tcW w:w="48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Reimbursable Expenses (at cost)</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Actual</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~$4,000</w:t>
            </w:r>
          </w:p>
        </w:tc>
      </w:tr>
      <w:tr>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
            </w:r>
          </w:p>
        </w:tc>
        <w:tc>
          <w:tcPr>
            <w:tcW w:w="48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TRACK B SUBTOTAL</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 xml:space="preserve">—</w:t>
            </w:r>
          </w:p>
        </w:tc>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$83,050</w:t>
            </w:r>
          </w:p>
        </w:tc>
      </w:tr>
    </w:tbl>
    <w:p>
      <w:pPr>
        <w:spacing w:before="100" w:after="0"/>
      </w:pPr>
    </w:p>
    <w:p>
      <w:pPr>
        <w:pBdr>
          <w:bottom w:val="single" w:sz="6" w:space="1" w:color="2E7D32"/>
        </w:pBdr>
        <w:spacing w:before="180" w:after="80"/>
      </w:pPr>
      <w:r>
        <w:rPr>
          <w:b/>
          <w:bCs/>
          <w:color w:val="2E7D32"/>
          <w:sz w:val="24"/>
          <w:szCs w:val="24"/>
        </w:rPr>
        <w:t xml:space="preserve">3.3  Combined Fee &amp; Track A Credit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5760"/>
        <w:gridCol w:w="3600"/>
      </w:tblGrid>
      <w:tr>
        <w:tc>
          <w:tcPr>
            <w:tcW w:w="576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
            </w:r>
          </w:p>
        </w:tc>
        <w:tc>
          <w:tcPr>
            <w:tcW w:w="360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Amount</w:t>
            </w:r>
          </w:p>
        </w:tc>
      </w:tr>
      <w:t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Track A — Predevelopment Intelligence (Fixed Fee)</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$16,235</w:t>
            </w:r>
          </w:p>
        </w:tc>
      </w:tr>
      <w:tr>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 xml:space="preserve">Track B — Architecture &amp; Engineering</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$83,050</w:t>
            </w:r>
          </w:p>
        </w:tc>
      </w:tr>
      <w:tr>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 xml:space="preserve">Track B — Reimbursable Expenses (estimated)</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~$4,000</w:t>
            </w:r>
          </w:p>
        </w:tc>
      </w:tr>
      <w:tr>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 xml:space="preserve">COMBINED TOTAL — TRACKS A + B</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1"/>
                <w:szCs w:val="21"/>
              </w:rPr>
              <w:t>~$103,285</w:t>
            </w:r>
          </w:p>
        </w:tc>
      </w:tr>
      <w:tr>
        <w:tc>
          <w:tcPr>
            <w:tcW w:w="576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pPr>
              <w:spacing w:before="0" w:after="0"/>
            </w:pPr>
            <w:r>
              <w:rPr>
                <w:b/>
                <w:bCs/>
                <w:color w:val="B8860B"/>
                <w:sz w:val="22"/>
                <w:szCs w:val="22"/>
              </w:rPr>
              <w:t xml:space="preserve">★  TRACK A FEE CREDIT — </w:t>
            </w:r>
            <w:r>
              <w:rPr>
                <w:color w:val="B8860B"/>
                <w:sz w:val="21"/>
                <w:szCs w:val="21"/>
              </w:rPr>
              <w:t>Upon WHA’s written authorization of Track B (full design services through Construction Documents), M4D will credit the full Track A fee of $16,235 against the Track B Phase B1 invoice.</w:t>
            </w:r>
          </w:p>
        </w:tc>
        <w:tc>
          <w:tcPr>
            <w:tcW w:w="360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pPr>
              <w:spacing w:before="60" w:after="60"/>
              <w:jc w:val="center"/>
            </w:pPr>
            <w:r>
              <w:rPr>
                <w:b/>
                <w:bCs/>
                <w:color w:val="B8860B"/>
                <w:sz w:val="24"/>
                <w:szCs w:val="24"/>
              </w:rPr>
              <w:t>($16,235)</w:t>
            </w:r>
          </w:p>
        </w:tc>
      </w:tr>
      <w:tr>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pPr>
            <w:r>
              <w:rPr>
                <w:b/>
                <w:bCs/>
                <w:color w:val="2E7D32"/>
                <w:sz w:val="22"/>
                <w:szCs w:val="22"/>
              </w:rPr>
              <w:t>NET TOTAL AFTER TRACK A CREDIT</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pPr>
              <w:spacing w:before="0" w:after="0"/>
              <w:jc w:val="center"/>
            </w:pPr>
            <w:r>
              <w:rPr>
                <w:b/>
                <w:bCs/>
                <w:color w:val="2E7D32"/>
                <w:sz w:val="24"/>
                <w:szCs w:val="24"/>
              </w:rPr>
              <w:t>~$87,050</w:t>
            </w:r>
          </w:p>
        </w:tc>
      </w:tr>
    </w:tbl>
    <w:p>
      <w:r>
        <w:br w:type="page"/>
      </w:r>
    </w:p>
    <w:p>
      <w:pPr>
        <w:shd w:val="clear" w:color="auto" w:fill="CCCCCC"/>
        <w:spacing w:before="0" w:after="0"/>
      </w:pPr>
      <w:r>
        <w:rPr>
          <w:b/>
          <w:bCs/>
          <w:color w:val="444444"/>
          <w:sz w:val="29"/>
          <w:szCs w:val="29"/>
        </w:rPr>
        <w:t xml:space="preserve">04.  Authorization — Track A</w:t>
      </w:r>
    </w:p>
    <w:p>
      <w:pPr>
        <w:spacing w:before="80" w:after="0"/>
      </w:pPr>
    </w:p>
    <w:p>
      <w:pPr>
        <w:spacing w:before="40" w:after="80"/>
      </w:pPr>
      <w:r>
        <w:rPr>
          <w:color w:val="1F2937"/>
          <w:sz w:val="21"/>
          <w:szCs w:val="21"/>
        </w:rPr>
        <w:t>To authorize Track A services, execute this proposal and return a signed copy to M4D. A Professional Services Agreement (PSA M2_2026_005) will be issued upon receipt. Services commence within three (3) business days of executed PSA and receipt of retainer.</w:t>
      </w:r>
    </w:p>
    <w:p>
      <w:pPr>
        <w:spacing w:before="60" w:after="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4680"/>
        <w:gridCol w:w="4680"/>
      </w:tblGrid>
      <w:tr>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pPr>
              <w:spacing w:before="0" w:after="50"/>
            </w:pPr>
            <w:r>
              <w:rPr>
                <w:b/>
                <w:bCs/>
                <w:color w:val="444444"/>
                <w:sz w:val="21"/>
                <w:szCs w:val="21"/>
              </w:rPr>
              <w:t>Track A Fixed Fee</w:t>
            </w:r>
          </w:p>
          <w:p>
            <w:pPr>
              <w:spacing w:before="0" w:after="50"/>
            </w:pPr>
            <w:r>
              <w:rPr>
                <w:b/>
                <w:bCs/>
                <w:color w:val="2E7D32"/>
                <w:sz w:val="35"/>
                <w:szCs w:val="35"/>
              </w:rPr>
              <w:t>$16,235.00</w:t>
            </w:r>
          </w:p>
          <w:p>
            <w:pPr>
              <w:spacing w:before="0" w:after="40"/>
            </w:pPr>
            <w:r>
              <w:rPr>
                <w:color w:val="888888"/>
                <w:sz w:val="19"/>
                <w:szCs w:val="19"/>
              </w:rPr>
              <w:t xml:space="preserve">Retainer (50% due upon authorization):  $8,117.50</w:t>
            </w:r>
          </w:p>
          <w:p>
            <w:pPr>
              <w:spacing w:before="0" w:after="0"/>
            </w:pPr>
            <w:r>
              <w:rPr>
                <w:color w:val="888888"/>
                <w:sz w:val="19"/>
                <w:szCs w:val="19"/>
              </w:rPr>
              <w:t>Balance due upon delivery of final Track A deliverables.</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pPr>
              <w:spacing w:before="0" w:after="50"/>
            </w:pPr>
            <w:r>
              <w:rPr>
                <w:color w:val="444444"/>
                <w:sz w:val="21"/>
                <w:szCs w:val="21"/>
              </w:rPr>
              <w:t>Delivery: 4 weeks from written authorization</w:t>
            </w:r>
          </w:p>
          <w:p>
            <w:pPr>
              <w:spacing w:before="0" w:after="50"/>
            </w:pPr>
            <w:r>
              <w:rPr>
                <w:color w:val="444444"/>
                <w:sz w:val="21"/>
                <w:szCs w:val="21"/>
              </w:rPr>
              <w:t>Governing agreement: M4D PSA M2_2026_005</w:t>
            </w:r>
          </w:p>
          <w:p>
            <w:pPr>
              <w:spacing w:before="0" w:after="60"/>
            </w:pPr>
            <w:r>
              <w:rPr>
                <w:color w:val="444444"/>
                <w:sz w:val="21"/>
                <w:szCs w:val="21"/>
              </w:rPr>
              <w:t>Invoice: Net 15 days</w:t>
            </w:r>
          </w:p>
          <w:p>
            <w:pPr>
              <w:spacing w:before="0" w:after="0"/>
            </w:pPr>
            <w:r>
              <w:rPr>
                <w:i/>
                <w:iCs/>
                <w:color w:val="888888"/>
                <w:sz w:val="19"/>
                <w:szCs w:val="19"/>
              </w:rPr>
              <w:t xml:space="preserve">Payment by check (payable to Merge 4 Design LLC) or ACH — banking instructions provided separately upon execution.</w:t>
            </w:r>
          </w:p>
        </w:tc>
      </w:tr>
    </w:tbl>
    <w:p>
      <w:pPr>
        <w:spacing w:before="80" w:after="0"/>
      </w:pPr>
    </w:p>
    <w:p>
      <w:pPr>
        <w:spacing w:before="0" w:after="60"/>
      </w:pPr>
      <w:r>
        <w:rPr>
          <w:color w:val="444444"/>
          <w:sz w:val="20"/>
          <w:szCs w:val="20"/>
        </w:rPr>
        <w:t>Upon authorization, M4D will initiate the following in Week 1 alongside Track A delivery:</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720"/>
        <w:gridCol w:w="6480"/>
        <w:gridCol w:w="2160"/>
      </w:tblGrid>
      <w:tr>
        <w:tc>
          <w:tcPr>
            <w:tcW w:w="72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w:t>
            </w:r>
          </w:p>
        </w:tc>
        <w:tc>
          <w:tcPr>
            <w:tcW w:w="648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Immediate action item</w:t>
            </w:r>
          </w:p>
        </w:tc>
        <w:tc>
          <w:tcPr>
            <w:tcW w:w="2160" w:type="dxa"/>
            <w:tcBorders>
              <w:top w:val="single" w:sz="4" w:space="0" w:color="CCCCCC"/>
              <w:left w:val="single" w:sz="4" w:space="0" w:color="CCCCCC"/>
              <w:bottom w:val="single" w:sz="4" w:space="0" w:color="CCCCCC"/>
              <w:right w:val="single" w:sz="4" w:space="0" w:color="CCCCCC"/>
            </w:tcBorders>
            <w:shd w:val="clear" w:color="auto" w:fill="444444"/>
            <w:tcMar>
              <w:top w:w="80" w:type="dxa"/>
              <w:left w:w="140" w:type="dxa"/>
              <w:bottom w:w="80" w:type="dxa"/>
              <w:right w:w="140" w:type="dxa"/>
            </w:tcMar>
          </w:tcPr>
          <w:p>
            <w:pPr>
              <w:spacing w:before="0" w:after="0"/>
            </w:pPr>
            <w:r>
              <w:rPr>
                <w:b/>
                <w:bCs/>
                <w:color w:val="FFFFFF"/>
                <w:sz w:val="19"/>
                <w:szCs w:val="19"/>
              </w:rPr>
              <w:t>Lead</w:t>
            </w:r>
          </w:p>
        </w:tc>
      </w:tr>
      <w:tr>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1</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Execute PSA M2_2026_005 and submit Track A retainer invoice.</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M4D</w:t>
            </w:r>
          </w:p>
        </w:tc>
      </w:tr>
      <w:tr>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2</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Request City of Wilmington Land Use pre-application meeting: R-3 use confirmation; block face setback; 10-unit row fire code; Scenario D height (Sec. 48-151); rear yard easement interpretation for yield Options B and D; cross street rear boundary and 15 ft rear yard variance feasibility for Option A+FW12.</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M4D</w:t>
            </w:r>
          </w:p>
        </w:tc>
      </w:tr>
      <w:tr>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3</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Order Phase I ESA (prior school facility; asbestos, tanks, soil risk).</w:t>
            </w:r>
          </w:p>
        </w:tc>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pPr>
              <w:spacing w:before="0" w:after="0"/>
            </w:pPr>
            <w:r>
              <w:rPr>
                <w:color w:val="1F2937"/>
                <w:sz w:val="20"/>
                <w:szCs w:val="20"/>
              </w:rPr>
              <w:t>WHA</w:t>
            </w:r>
          </w:p>
        </w:tc>
      </w:tr>
      <w:tr>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4</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 xml:space="preserve">Authorize geotechnical investigation — minimum 4 borings; required for foundation design and geothermal bore field feasibility.</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WHA</w:t>
            </w:r>
          </w:p>
        </w:tc>
      </w:tr>
      <w:tr>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6</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Confirm Delaware Catalyst Fund eligibility pathway; Energize Delaware PACE on fee-simple lots; Delmarva Power virtual net metering for HOA subscriber structure.</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pPr>
              <w:spacing w:before="0" w:after="0"/>
            </w:pPr>
            <w:r>
              <w:rPr>
                <w:color w:val="1F2937"/>
                <w:sz w:val="20"/>
                <w:szCs w:val="20"/>
              </w:rPr>
              <w:t>M4D</w:t>
            </w:r>
          </w:p>
        </w:tc>
      </w:tr>
    </w:tbl>
    <w:p>
      <w:pPr>
        <w:spacing w:before="100" w:after="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Pr>
      <w:tblGrid>
        <w:gridCol w:w="4680"/>
        <w:gridCol w:w="4680"/>
      </w:tblGrid>
      <w:tr>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pPr>
              <w:spacing w:before="0" w:after="80"/>
            </w:pPr>
            <w:r>
              <w:rPr>
                <w:b/>
                <w:bCs/>
                <w:color w:val="888888"/>
                <w:sz w:val="18"/>
                <w:szCs w:val="18"/>
              </w:rPr>
              <w:t xml:space="preserve">AUTHORIZED BY — MERGE 4 DESIGN LLC</w:t>
            </w:r>
          </w:p>
          <w:p>
            <w:pPr>
              <w:spacing w:before="0" w:after="50"/>
            </w:pPr>
            <w:r>
              <w:rPr>
                <w:color w:val="444444"/>
                <w:sz w:val="22"/>
                <w:szCs w:val="22"/>
              </w:rPr>
              <w:t>_______________________________________</w:t>
            </w:r>
          </w:p>
          <w:p>
            <w:pPr>
              <w:spacing w:before="0" w:after="30"/>
            </w:pPr>
            <w:r>
              <w:rPr>
                <w:color w:val="444444"/>
                <w:sz w:val="21"/>
                <w:szCs w:val="21"/>
              </w:rPr>
              <w:t xml:space="preserve">Trevor Knight,  Director of Business Development</w:t>
            </w:r>
          </w:p>
          <w:p>
            <w:pPr>
              <w:spacing w:before="0" w:after="30"/>
            </w:pPr>
            <w:r>
              <w:rPr>
                <w:color w:val="444444"/>
                <w:sz w:val="20"/>
                <w:szCs w:val="20"/>
              </w:rPr>
              <w:t>Merge 4 Design LLC</w:t>
            </w:r>
          </w:p>
          <w:p>
            <w:pPr>
              <w:spacing w:before="0" w:after="80"/>
            </w:pPr>
            <w:r>
              <w:rPr>
                <w:color w:val="444444"/>
                <w:sz w:val="21"/>
                <w:szCs w:val="21"/>
              </w:rPr>
              <w:t>Date: ________________________</w:t>
            </w:r>
          </w:p>
          <w:p>
            <w:pPr>
              <w:spacing w:before="0" w:after="50"/>
            </w:pPr>
            <w:r>
              <w:rPr>
                <w:color w:val="444444"/>
                <w:sz w:val="22"/>
                <w:szCs w:val="22"/>
              </w:rPr>
              <w:t>_______________________________________</w:t>
            </w:r>
          </w:p>
          <w:p>
            <w:pPr>
              <w:spacing w:before="0" w:after="30"/>
            </w:pPr>
            <w:r>
              <w:rPr>
                <w:color w:val="444444"/>
                <w:sz w:val="21"/>
                <w:szCs w:val="21"/>
              </w:rPr>
              <w:t xml:space="preserve">David C. Ainsworth AIA,  Principal-in-Charge</w:t>
            </w:r>
          </w:p>
          <w:p>
            <w:pPr>
              <w:spacing w:before="0" w:after="30"/>
            </w:pPr>
            <w:r>
              <w:rPr>
                <w:color w:val="444444"/>
                <w:sz w:val="20"/>
                <w:szCs w:val="20"/>
              </w:rPr>
              <w:t xml:space="preserve">Aubyn Architecture LLC  (AOR)</w:t>
            </w:r>
          </w:p>
          <w:p>
            <w:pPr>
              <w:spacing w:before="0" w:after="0"/>
            </w:pPr>
            <w:r>
              <w:rPr>
                <w:color w:val="444444"/>
                <w:sz w:val="21"/>
                <w:szCs w:val="21"/>
              </w:rPr>
              <w:t>Date: ________________________</w:t>
            </w:r>
          </w:p>
        </w:tc>
        <w:tc>
          <w:tcPr>
            <w:tcW w:w="4680"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pPr>
              <w:spacing w:before="0" w:after="80"/>
            </w:pPr>
            <w:r>
              <w:rPr>
                <w:b/>
                <w:bCs/>
                <w:color w:val="888888"/>
                <w:sz w:val="18"/>
                <w:szCs w:val="18"/>
              </w:rPr>
              <w:t xml:space="preserve">AUTHORIZED BY — WILMINGTON HOUSING AUTHORITY</w:t>
            </w:r>
          </w:p>
          <w:p>
            <w:pPr>
              <w:spacing w:before="0" w:after="50"/>
            </w:pPr>
            <w:r>
              <w:rPr>
                <w:color w:val="444444"/>
                <w:sz w:val="22"/>
                <w:szCs w:val="22"/>
              </w:rPr>
              <w:t>_______________________________________</w:t>
            </w:r>
          </w:p>
          <w:p>
            <w:pPr>
              <w:spacing w:before="0" w:after="30"/>
            </w:pPr>
            <w:r>
              <w:rPr>
                <w:color w:val="444444"/>
                <w:sz w:val="21"/>
                <w:szCs w:val="21"/>
              </w:rPr>
              <w:t>Name: _______________________</w:t>
            </w:r>
          </w:p>
          <w:p>
            <w:pPr>
              <w:spacing w:before="0" w:after="30"/>
            </w:pPr>
            <w:r>
              <w:rPr>
                <w:color w:val="444444"/>
                <w:sz w:val="21"/>
                <w:szCs w:val="21"/>
              </w:rPr>
              <w:t>Title: _______________________</w:t>
            </w:r>
          </w:p>
          <w:p>
            <w:pPr>
              <w:spacing w:before="0" w:after="0"/>
            </w:pPr>
            <w:r>
              <w:rPr>
                <w:color w:val="444444"/>
                <w:sz w:val="21"/>
                <w:szCs w:val="21"/>
              </w:rPr>
              <w:t>Date: ________________________</w:t>
            </w:r>
          </w:p>
        </w:tc>
      </w:tr>
    </w:tbl>
    <w:p>
      <w:pPr>
        <w:spacing w:before="140" w:after="0"/>
      </w:pPr>
    </w:p>
    <w:p>
      <w:pPr>
        <w:pBdr>
          <w:top w:val="single" w:sz="6" w:space="1" w:color="CCCCCC"/>
        </w:pBdr>
        <w:spacing w:before="80" w:after="0"/>
      </w:pPr>
      <w:r>
        <w:rPr>
          <w:b/>
          <w:bCs/>
          <w:color w:val="444444"/>
          <w:sz w:val="19"/>
          <w:szCs w:val="19"/>
        </w:rPr>
        <w:t xml:space="preserve">FLAG FOR LEGAL/FINANCIAL REVIEW:  </w:t>
      </w:r>
      <w:r>
        <w:rPr>
          <w:color w:val="888888"/>
          <w:sz w:val="19"/>
          <w:szCs w:val="19"/>
        </w:rPr>
        <w:t>Confirm WHA procurement requirements (DBE/MBE thresholds, HUD Section 3, City of Wilmington local hiring provisions) before contract execution. This proposal does not constitute a contract. Professional legal review recommended prior to execution.</w:t>
      </w:r>
    </w:p>
    <w:sectPr>
      <w:headerReference w:type="default" r:id="rId7"/>
      <w:footerReference w:type="default" r:id="rId8"/>
      <w:pgSz w:w="12240" w:h="15840"/>
      <w:pgMar w:top="1080" w:right="1260" w:bottom="1080" w:left="126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B2BF3" w14:textId="77777777" w:rsidR="008018E2" w:rsidRDefault="008018E2">
      <w:r>
        <w:separator/>
      </w:r>
    </w:p>
  </w:endnote>
  <w:endnote w:type="continuationSeparator" w:id="0">
    <w:p w14:paraId="415B5CC8" w14:textId="77777777" w:rsidR="008018E2" w:rsidRDefault="00801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05597"/>
      <w:docPartObj>
        <w:docPartGallery w:val="Page Numbers (Bottom of Page)"/>
        <w:docPartUnique/>
      </w:docPartObj>
    </w:sdtPr>
    <w:sdtContent>
      <w:sdt>
        <w:sdtPr>
          <w:id w:val="-1769616900"/>
          <w:docPartObj>
            <w:docPartGallery w:val="Page Numbers (Top of Page)"/>
            <w:docPartUnique/>
          </w:docPartObj>
        </w:sdtPr>
        <w:sdtContent>
          <w:p w14:paraId="54ECB0ED" w14:textId="77777777" w:rsidR="001E11F9" w:rsidRDefault="001E11F9" w:rsidP="00793DF1">
            <w:pPr>
              <w:pStyle w:val="Footer"/>
            </w:pPr>
          </w:p>
          <w:p w14:paraId="174C4E64" w14:textId="77777777" w:rsidR="00D962B3" w:rsidRDefault="002857C9" w:rsidP="00793DF1">
            <w:pPr>
              <w:pStyle w:val="Footer"/>
            </w:pPr>
            <w:r w:rsidRPr="001E11F9">
              <w:rPr>
                <w:color w:val="808080" w:themeColor="background1" w:themeShade="80"/>
                <w:sz w:val="16"/>
                <w:szCs w:val="16"/>
              </w:rPr>
              <w:t xml:space="preserve">© 2026 Merge 4 Design LLC d/b/a M4Di.  </w:t>
            </w:r>
            <w:r w:rsidR="00B77D3A" w:rsidRPr="001E11F9">
              <w:rPr>
                <w:color w:val="808080" w:themeColor="background1" w:themeShade="80"/>
                <w:sz w:val="16"/>
                <w:szCs w:val="16"/>
              </w:rPr>
              <w:t>AOR: David C. Ainsworth AIA, Aubyn Architecture LLC</w:t>
            </w:r>
            <w:r w:rsidRPr="001E11F9">
              <w:rPr>
                <w:color w:val="808080" w:themeColor="background1" w:themeShade="80"/>
                <w:sz w:val="16"/>
                <w:szCs w:val="16"/>
              </w:rPr>
              <w:t xml:space="preserve">     </w:t>
            </w:r>
            <w:r w:rsidR="00805D69" w:rsidRPr="001E11F9">
              <w:rPr>
                <w:color w:val="808080" w:themeColor="background1" w:themeShade="80"/>
                <w:sz w:val="16"/>
                <w:szCs w:val="16"/>
              </w:rPr>
              <w:t xml:space="preserve">                  </w:t>
            </w:r>
            <w:r w:rsidRPr="001E11F9">
              <w:rPr>
                <w:color w:val="808080" w:themeColor="background1" w:themeShade="80"/>
                <w:sz w:val="16"/>
                <w:szCs w:val="16"/>
              </w:rPr>
              <w:t xml:space="preserve">            </w:t>
            </w:r>
            <w:r w:rsidR="00793DF1" w:rsidRPr="001E11F9">
              <w:rPr>
                <w:color w:val="808080" w:themeColor="background1" w:themeShade="80"/>
                <w:sz w:val="16"/>
                <w:szCs w:val="16"/>
              </w:rPr>
              <w:t xml:space="preserve">    </w:t>
            </w:r>
            <w:r w:rsidR="00D962B3" w:rsidRPr="001E11F9">
              <w:rPr>
                <w:color w:val="808080" w:themeColor="background1" w:themeShade="80"/>
                <w:sz w:val="16"/>
                <w:szCs w:val="16"/>
              </w:rPr>
              <w:t xml:space="preserve">Page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PAGE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r w:rsidR="00D962B3" w:rsidRPr="001E11F9">
              <w:rPr>
                <w:color w:val="808080" w:themeColor="background1" w:themeShade="80"/>
                <w:sz w:val="16"/>
                <w:szCs w:val="16"/>
              </w:rPr>
              <w:t xml:space="preserve"> of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NUMPAGES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p>
        </w:sdtContent>
      </w:sdt>
    </w:sdtContent>
  </w:sdt>
  <w:p w14:paraId="65680115" w14:textId="77777777" w:rsidR="005A5284" w:rsidRPr="007E5F7A" w:rsidRDefault="005A5284" w:rsidP="003661D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B38C3" w14:textId="77777777" w:rsidR="008018E2" w:rsidRDefault="008018E2">
      <w:r>
        <w:separator/>
      </w:r>
    </w:p>
  </w:footnote>
  <w:footnote w:type="continuationSeparator" w:id="0">
    <w:p w14:paraId="67BD9FE6" w14:textId="77777777" w:rsidR="008018E2" w:rsidRDefault="00801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F6BED" w14:textId="77777777" w:rsidR="001A71AE" w:rsidRDefault="004B09FD" w:rsidP="001A71AE">
    <w:pPr>
      <w:ind w:left="720" w:firstLine="720"/>
      <w:rPr>
        <w:b/>
        <w:bCs/>
        <w:color w:val="000000"/>
        <w:sz w:val="28"/>
        <w:szCs w:val="28"/>
      </w:rPr>
    </w:pPr>
    <w:r>
      <w:rPr>
        <w:noProof/>
      </w:rPr>
      <w:drawing>
        <wp:anchor distT="0" distB="0" distL="114300" distR="114300" simplePos="0" relativeHeight="251714560" behindDoc="0" locked="0" layoutInCell="1" allowOverlap="1" wp14:anchorId="72A76B5E" wp14:editId="37B16BDB">
          <wp:simplePos x="0" y="0"/>
          <wp:positionH relativeFrom="margin">
            <wp:align>left</wp:align>
          </wp:positionH>
          <wp:positionV relativeFrom="paragraph">
            <wp:posOffset>29237</wp:posOffset>
          </wp:positionV>
          <wp:extent cx="880281" cy="63108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975" cy="633731"/>
                  </a:xfrm>
                  <a:prstGeom prst="rect">
                    <a:avLst/>
                  </a:prstGeom>
                </pic:spPr>
              </pic:pic>
            </a:graphicData>
          </a:graphic>
          <wp14:sizeRelH relativeFrom="margin">
            <wp14:pctWidth>0</wp14:pctWidth>
          </wp14:sizeRelH>
          <wp14:sizeRelV relativeFrom="margin">
            <wp14:pctHeight>0</wp14:pctHeight>
          </wp14:sizeRelV>
        </wp:anchor>
      </w:drawing>
    </w:r>
    <w:r w:rsidR="001A71AE" w:rsidRPr="00E91400">
      <w:rPr>
        <w:b/>
        <w:bCs/>
        <w:color w:val="000000"/>
        <w:sz w:val="28"/>
        <w:szCs w:val="28"/>
      </w:rPr>
      <w:t>MERGE 4 DESIGN LLC</w:t>
    </w:r>
  </w:p>
  <w:p w14:paraId="667C18AB" w14:textId="77777777" w:rsidR="004073D4" w:rsidRDefault="001A71AE" w:rsidP="004073D4">
    <w:pPr>
      <w:ind w:left="720" w:firstLine="720"/>
      <w:rPr>
        <w:color w:val="888888"/>
        <w:spacing w:val="40"/>
        <w:sz w:val="17"/>
        <w:szCs w:val="17"/>
      </w:rPr>
    </w:pPr>
    <w:r>
      <w:rPr>
        <w:color w:val="888888"/>
        <w:spacing w:val="40"/>
        <w:sz w:val="17"/>
        <w:szCs w:val="17"/>
      </w:rPr>
      <w:t>ARCHITECTURE DEVELOPMENT</w:t>
    </w:r>
    <w:r w:rsidR="004073D4">
      <w:rPr>
        <w:color w:val="888888"/>
        <w:spacing w:val="40"/>
        <w:sz w:val="17"/>
        <w:szCs w:val="17"/>
      </w:rPr>
      <w:t xml:space="preserve"> </w:t>
    </w:r>
    <w:r>
      <w:rPr>
        <w:color w:val="888888"/>
        <w:spacing w:val="40"/>
        <w:sz w:val="17"/>
        <w:szCs w:val="17"/>
      </w:rPr>
      <w:t>CONSUL</w:t>
    </w:r>
    <w:r w:rsidR="004073D4">
      <w:rPr>
        <w:color w:val="888888"/>
        <w:spacing w:val="40"/>
        <w:sz w:val="17"/>
        <w:szCs w:val="17"/>
      </w:rPr>
      <w:t>TING</w:t>
    </w:r>
  </w:p>
  <w:p w14:paraId="41CB5374" w14:textId="77777777" w:rsidR="004073D4" w:rsidRPr="001E11F9" w:rsidRDefault="004073D4" w:rsidP="004073D4">
    <w:pPr>
      <w:ind w:left="720" w:firstLine="720"/>
      <w:rPr>
        <w:color w:val="374151"/>
        <w:sz w:val="12"/>
        <w:szCs w:val="12"/>
      </w:rPr>
    </w:pPr>
  </w:p>
  <w:p w14:paraId="304D623B" w14:textId="77777777" w:rsidR="004073D4" w:rsidRDefault="00820CF8" w:rsidP="004073D4">
    <w:pPr>
      <w:ind w:left="720" w:firstLine="720"/>
      <w:rPr>
        <w:color w:val="374151"/>
        <w:sz w:val="16"/>
        <w:szCs w:val="16"/>
      </w:rPr>
    </w:pPr>
    <w:r>
      <w:rPr>
        <w:color w:val="374151"/>
        <w:sz w:val="16"/>
        <w:szCs w:val="16"/>
      </w:rPr>
      <w:t xml:space="preserve">500 Delaware Ave., Suite 1 #1551, </w:t>
    </w:r>
  </w:p>
  <w:p w14:paraId="23BE4A27" w14:textId="77777777" w:rsidR="00FB0B9A" w:rsidRDefault="00820CF8" w:rsidP="004073D4">
    <w:pPr>
      <w:ind w:left="720" w:firstLine="720"/>
      <w:rPr>
        <w:color w:val="888888"/>
        <w:sz w:val="16"/>
        <w:szCs w:val="16"/>
      </w:rPr>
    </w:pPr>
    <w:r>
      <w:rPr>
        <w:color w:val="374151"/>
        <w:sz w:val="16"/>
        <w:szCs w:val="16"/>
      </w:rPr>
      <w:t xml:space="preserve">Wilmington, DE </w:t>
    </w:r>
    <w:r w:rsidR="00B91127">
      <w:rPr>
        <w:color w:val="374151"/>
        <w:sz w:val="16"/>
        <w:szCs w:val="16"/>
      </w:rPr>
      <w:t>19899 · info@merge4design.com</w:t>
    </w:r>
    <w:r w:rsidR="00B91127">
      <w:rPr>
        <w:color w:val="888888"/>
        <w:sz w:val="16"/>
        <w:szCs w:val="16"/>
      </w:rPr>
      <w:t xml:space="preserve"> · 302</w:t>
    </w:r>
    <w:r w:rsidR="00FB0B9A">
      <w:rPr>
        <w:color w:val="888888"/>
        <w:sz w:val="16"/>
        <w:szCs w:val="16"/>
      </w:rPr>
      <w:t xml:space="preserve"> 367 5726</w:t>
    </w:r>
  </w:p>
  <w:p w14:paraId="562F700A" w14:textId="77777777" w:rsidR="008F56B5" w:rsidRPr="004073D4" w:rsidRDefault="008F56B5" w:rsidP="004073D4">
    <w:pPr>
      <w:ind w:left="720" w:firstLine="720"/>
      <w:rPr>
        <w:color w:val="888888"/>
        <w:spacing w:val="40"/>
        <w:sz w:val="17"/>
        <w:szCs w:val="17"/>
      </w:rPr>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60" w:hanging="2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84"/>
    <w:rsid w:val="00003CD6"/>
    <w:rsid w:val="00086E51"/>
    <w:rsid w:val="000912A3"/>
    <w:rsid w:val="00093C5E"/>
    <w:rsid w:val="001026E2"/>
    <w:rsid w:val="00120982"/>
    <w:rsid w:val="0019044D"/>
    <w:rsid w:val="001A71AE"/>
    <w:rsid w:val="001D39A1"/>
    <w:rsid w:val="001D3BDC"/>
    <w:rsid w:val="001E11F9"/>
    <w:rsid w:val="00206745"/>
    <w:rsid w:val="002831F3"/>
    <w:rsid w:val="002857C9"/>
    <w:rsid w:val="002A0628"/>
    <w:rsid w:val="002B0B05"/>
    <w:rsid w:val="002F1422"/>
    <w:rsid w:val="002F6AB6"/>
    <w:rsid w:val="00302A54"/>
    <w:rsid w:val="003466F0"/>
    <w:rsid w:val="00353F40"/>
    <w:rsid w:val="003661D5"/>
    <w:rsid w:val="003A0981"/>
    <w:rsid w:val="003A0AA8"/>
    <w:rsid w:val="003B2F58"/>
    <w:rsid w:val="003C10CE"/>
    <w:rsid w:val="003C43F7"/>
    <w:rsid w:val="003E23D1"/>
    <w:rsid w:val="004073D4"/>
    <w:rsid w:val="004379F1"/>
    <w:rsid w:val="00490D04"/>
    <w:rsid w:val="004A7D00"/>
    <w:rsid w:val="004B09FD"/>
    <w:rsid w:val="004B5C38"/>
    <w:rsid w:val="00500276"/>
    <w:rsid w:val="005118E8"/>
    <w:rsid w:val="00544CA9"/>
    <w:rsid w:val="0059239A"/>
    <w:rsid w:val="005A5284"/>
    <w:rsid w:val="005D4C8A"/>
    <w:rsid w:val="005F3D0A"/>
    <w:rsid w:val="00600D83"/>
    <w:rsid w:val="0061255E"/>
    <w:rsid w:val="00620546"/>
    <w:rsid w:val="00634DAD"/>
    <w:rsid w:val="00636FF9"/>
    <w:rsid w:val="006522DD"/>
    <w:rsid w:val="0068629D"/>
    <w:rsid w:val="006940FE"/>
    <w:rsid w:val="006A28CB"/>
    <w:rsid w:val="006E576E"/>
    <w:rsid w:val="0074204E"/>
    <w:rsid w:val="0075257C"/>
    <w:rsid w:val="00761A1B"/>
    <w:rsid w:val="00762C5A"/>
    <w:rsid w:val="00765BCE"/>
    <w:rsid w:val="00793DF1"/>
    <w:rsid w:val="007A5492"/>
    <w:rsid w:val="007C648E"/>
    <w:rsid w:val="007E2BC0"/>
    <w:rsid w:val="007E5F7A"/>
    <w:rsid w:val="007F5FCF"/>
    <w:rsid w:val="00800724"/>
    <w:rsid w:val="008018E2"/>
    <w:rsid w:val="00805D69"/>
    <w:rsid w:val="00820CF8"/>
    <w:rsid w:val="008E7529"/>
    <w:rsid w:val="008F56B5"/>
    <w:rsid w:val="00912E5B"/>
    <w:rsid w:val="0091618B"/>
    <w:rsid w:val="00920C13"/>
    <w:rsid w:val="0092151A"/>
    <w:rsid w:val="009474E2"/>
    <w:rsid w:val="009738E1"/>
    <w:rsid w:val="00974554"/>
    <w:rsid w:val="009761D8"/>
    <w:rsid w:val="0099113A"/>
    <w:rsid w:val="009B0B2F"/>
    <w:rsid w:val="009B2C36"/>
    <w:rsid w:val="00A2521B"/>
    <w:rsid w:val="00A6672B"/>
    <w:rsid w:val="00A7138E"/>
    <w:rsid w:val="00AA6D05"/>
    <w:rsid w:val="00B77D3A"/>
    <w:rsid w:val="00B8046C"/>
    <w:rsid w:val="00B91127"/>
    <w:rsid w:val="00BB29A6"/>
    <w:rsid w:val="00BD3960"/>
    <w:rsid w:val="00C90332"/>
    <w:rsid w:val="00CC74EA"/>
    <w:rsid w:val="00CD4BA7"/>
    <w:rsid w:val="00CD7C1F"/>
    <w:rsid w:val="00D154A5"/>
    <w:rsid w:val="00D46E82"/>
    <w:rsid w:val="00D7285E"/>
    <w:rsid w:val="00D87D55"/>
    <w:rsid w:val="00D93550"/>
    <w:rsid w:val="00D962B3"/>
    <w:rsid w:val="00DB665A"/>
    <w:rsid w:val="00E220A5"/>
    <w:rsid w:val="00E32453"/>
    <w:rsid w:val="00E63812"/>
    <w:rsid w:val="00E77C0F"/>
    <w:rsid w:val="00EC6043"/>
    <w:rsid w:val="00ED0F85"/>
    <w:rsid w:val="00ED4085"/>
    <w:rsid w:val="00EE1FC4"/>
    <w:rsid w:val="00EE2845"/>
    <w:rsid w:val="00EE37BC"/>
    <w:rsid w:val="00EE62FF"/>
    <w:rsid w:val="00FB08CC"/>
    <w:rsid w:val="00FB0B9A"/>
    <w:rsid w:val="00FC74B4"/>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1EDB5"/>
  <w15:docId w15:val="{BE703138-47CD-4218-9972-3B8E0EC0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6"/>
      <w:szCs w:val="26"/>
    </w:rPr>
  </w:style>
  <w:style w:type="paragraph" w:styleId="Heading2">
    <w:name w:val="heading 2"/>
    <w:uiPriority w:val="9"/>
    <w:unhideWhenUsed/>
    <w:qFormat/>
    <w:pPr>
      <w:spacing w:before="240" w:after="80"/>
      <w:outlineLvl w:val="1"/>
    </w:pPr>
    <w:rPr>
      <w:b/>
      <w:bCs/>
      <w:color w:val="0F4B18"/>
      <w:sz w:val="22"/>
      <w:szCs w:val="22"/>
    </w:rPr>
  </w:style>
  <w:style w:type="paragraph" w:styleId="Heading3">
    <w:name w:val="heading 3"/>
    <w:uiPriority w:val="9"/>
    <w:unhideWhenUsed/>
    <w:qFormat/>
    <w:pPr>
      <w:spacing w:before="160" w:after="6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3812"/>
    <w:pPr>
      <w:tabs>
        <w:tab w:val="center" w:pos="4680"/>
        <w:tab w:val="right" w:pos="9360"/>
      </w:tabs>
    </w:pPr>
  </w:style>
  <w:style w:type="character" w:customStyle="1" w:styleId="HeaderChar">
    <w:name w:val="Header Char"/>
    <w:basedOn w:val="DefaultParagraphFont"/>
    <w:link w:val="Header"/>
    <w:uiPriority w:val="99"/>
    <w:rsid w:val="00E63812"/>
  </w:style>
  <w:style w:type="paragraph" w:styleId="Footer">
    <w:name w:val="footer"/>
    <w:basedOn w:val="Normal"/>
    <w:link w:val="FooterChar"/>
    <w:uiPriority w:val="99"/>
    <w:unhideWhenUsed/>
    <w:rsid w:val="00E63812"/>
    <w:pPr>
      <w:tabs>
        <w:tab w:val="center" w:pos="4680"/>
        <w:tab w:val="right" w:pos="9360"/>
      </w:tabs>
    </w:pPr>
  </w:style>
  <w:style w:type="character" w:customStyle="1" w:styleId="FooterChar">
    <w:name w:val="Footer Char"/>
    <w:basedOn w:val="DefaultParagraphFont"/>
    <w:link w:val="Footer"/>
    <w:uiPriority w:val="99"/>
    <w:rsid w:val="00E63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3308</Words>
  <Characters>19556</Characters>
  <Application>Microsoft Office Word</Application>
  <DocSecurity>0</DocSecurity>
  <Lines>1150</Lines>
  <Paragraphs>914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cp:lastPrinted>2026-03-26T14:15:00Z</cp:lastPrinted>
  <dcterms:created xsi:type="dcterms:W3CDTF">2026-04-16T13:48:00Z</dcterms:created>
  <dcterms:modified xsi:type="dcterms:W3CDTF">2026-04-16T13:48:00Z</dcterms:modified>
</cp:coreProperties>
</file>