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6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9360"/>
      </w:tblGrid>
      <w:tr>
        <w:tc>
          <w:tcPr>
            <w:tcW w:w="9360" w:type="dxa"/>
            <w:tcBorders>
              <w:top w:val="none" w:sz="0" w:space="0" w:color="FFFFFF"/>
              <w:left w:val="none" w:sz="0" w:space="0" w:color="FFFFFF"/>
              <w:bottom w:val="none" w:sz="0" w:space="0" w:color="FFFFFF"/>
              <w:right w:val="none" w:sz="0" w:space="0" w:color="FFFFFF"/>
            </w:tcBorders>
            <w:shd w:val="clear" w:color="auto" w:fill="CCCCCC"/>
            <w:tcMar>
              <w:top w:w="160" w:type="dxa"/>
              <w:left w:w="180" w:type="dxa"/>
              <w:bottom w:w="160" w:type="dxa"/>
              <w:right w:w="180" w:type="dxa"/>
            </w:tcMar>
          </w:tcPr>
          <w:p>
            <w:pPr>
              <w:spacing w:before="140" w:after="60"/>
              <w:jc w:val="center"/>
            </w:pPr>
            <w:r>
              <w:rPr>
                <w:b/>
                <w:bCs/>
                <w:color w:val="2E7D32"/>
                <w:sz w:val="29"/>
                <w:szCs w:val="29"/>
              </w:rPr>
              <w:t>PROFESSIONAL FEE PROPOSAL</w:t>
            </w:r>
          </w:p>
          <w:p>
            <w:pPr>
              <w:spacing w:before="0" w:after="80"/>
              <w:jc w:val="center"/>
            </w:pPr>
            <w:r>
              <w:rPr>
                <w:b/>
                <w:bCs/>
                <w:color w:val="1F2937"/>
                <w:sz w:val="37"/>
                <w:szCs w:val="37"/>
              </w:rPr>
              <w:t>1212 Lobdel Avenue — Multi-Unit Affordable Infill Housing</w:t>
            </w:r>
          </w:p>
          <w:p>
            <w:pPr>
              <w:spacing w:before="0" w:after="140"/>
              <w:jc w:val="center"/>
            </w:pPr>
            <w:r>
              <w:rPr>
                <w:color w:val="2E7D32"/>
                <w:sz w:val="24"/>
                <w:szCs w:val="24"/>
              </w:rPr>
              <w:t xml:space="preserve">Wilmington, DE  ·  Predevelopment Intelligence Services  ·  April 23, 2026</w:t>
            </w:r>
          </w:p>
        </w:tc>
      </w:tr>
    </w:tbl>
    <w:p>
      <w:pPr>
        <w:spacing w:before="22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2880"/>
        <w:gridCol w:w="6480"/>
      </w:tblGrid>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Submitted To</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Wilmington Housing Authority (WHA)  ·  Wilmington, DE</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Submitted By</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Merge 4 Design LLC (M4D)  ·  500 Delaware Ave., Suite 1 #1551, Wilmington, DE 19899  ·  302 367 5726  ·  merge4design.com</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Date Submitted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April 23, 2026</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Project Reference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M2_2026_005  ·  1212 Lobdel Avenue</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Proposal Valid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90 days from submission date</w:t>
            </w:r>
          </w:p>
        </w:tc>
      </w:tr>
    </w:tbl>
    <w:p>
      <w:r>
        <w:br w:type="page"/>
      </w:r>
    </w:p>
    <w:p>
      <w:pPr>
        <w:shd w:val="clear" w:color="auto" w:fill="CCCCCC"/>
        <w:spacing w:before="0" w:after="0"/>
      </w:pPr>
      <w:r>
        <w:rPr>
          <w:b/>
          <w:bCs/>
          <w:color w:val="444444"/>
          <w:sz w:val="29"/>
          <w:szCs w:val="29"/>
        </w:rPr>
        <w:t xml:space="preserve">01.  Project Identification</w:t>
      </w:r>
    </w:p>
    <w:p>
      <w:pPr>
        <w:spacing w:before="8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2880"/>
        <w:gridCol w:w="6480"/>
      </w:tblGrid>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Project Name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1212 Lobdel Avenue — Multi-Unit Affordable Infill Housing</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Parcel 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2605130241</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Address</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1212 Lobdel Avenue, Wilmington, DE  (City of Wilmington limits)</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Client / Owner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Wilmington Housing Authority (WHA)</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Project Lead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Merge 4 Design LLC (M4D)</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Zoning Jurisdiction</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City of Wilmington Zoning Ordinance, Chapter 48 — R-3 District</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M4D Project Number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M2_2026_005  ·  April 23, 2026</w:t>
            </w:r>
          </w:p>
        </w:tc>
      </w:tr>
    </w:tbl>
    <w:p>
      <w:r>
        <w:br w:type="page"/>
      </w:r>
    </w:p>
    <w:p>
      <w:pPr>
        <w:shd w:val="clear" w:color="auto" w:fill="CCCCCC"/>
        <w:spacing w:before="0" w:after="0"/>
      </w:pPr>
      <w:r>
        <w:rPr>
          <w:b/>
          <w:bCs/>
          <w:color w:val="444444"/>
          <w:sz w:val="29"/>
          <w:szCs w:val="29"/>
        </w:rPr>
        <w:t xml:space="preserve">02.  Project Context</w:t>
      </w:r>
    </w:p>
    <w:p>
      <w:pPr>
        <w:spacing w:before="80" w:after="0"/>
      </w:pPr>
    </w:p>
    <w:p>
      <w:pPr>
        <w:spacing w:before="40" w:after="80"/>
      </w:pPr>
      <w:r>
        <w:rPr>
          <w:color w:val="1F2937"/>
          <w:sz w:val="21"/>
          <w:szCs w:val="21"/>
        </w:rPr>
        <w:t>1212 Lobdel Avenue is a 1.39-acre cleared infill site within the City of Wilmington, owned by the Wilmington Housing Authority. The site is zoned R-3 (One-Family Row Houses, Chapter 48) and is targeted for 30 or more units of affordable for-sale housing under WHA’s homeownership program.</w:t>
      </w:r>
    </w:p>
    <w:p>
      <w:pPr>
        <w:spacing w:before="60" w:after="0"/>
      </w:pPr>
    </w:p>
    <w:p>
      <w:pPr>
        <w:spacing w:before="40" w:after="80"/>
      </w:pPr>
      <w:r>
        <w:rPr>
          <w:color w:val="1F2937"/>
          <w:sz w:val="21"/>
          <w:szCs w:val="21"/>
        </w:rPr>
        <w:t>M4D’s predevelopment scope (Track A) covers the full range of site and program analysis needed to bring WHA to an informed construction type selection and yield scenario decision. This includes yield configuration analysis, construction cost benchmarking across four systems, sustainability add-alternate evaluation, and subsidy gap analysis against available Delaware financing programs.</w:t>
      </w:r>
    </w:p>
    <w:p>
      <w:pPr>
        <w:spacing w:before="60" w:after="0"/>
      </w:pPr>
    </w:p>
    <w:p>
      <w:pPr>
        <w:spacing w:before="40" w:after="80"/>
      </w:pPr>
      <w:r>
        <w:rPr>
          <w:color w:val="1F2937"/>
          <w:sz w:val="21"/>
          <w:szCs w:val="21"/>
        </w:rPr>
        <w:t>Track B — Architecture and Engineering — is scoped and priced below for WHA’s planning purposes and will be authorized separately upon WHA’s written selection of yield scenario and construction type following Track A delivery.</w:t>
      </w:r>
    </w:p>
    <w:p>
      <w:pPr>
        <w:spacing w:before="80" w:after="0"/>
      </w:pPr>
    </w:p>
    <w:p>
      <w:pPr>
        <w:pBdr>
          <w:bottom w:val="single" w:sz="6" w:space="1" w:color="2E7D32"/>
        </w:pBdr>
        <w:spacing w:before="200" w:after="80"/>
      </w:pPr>
      <w:r>
        <w:rPr>
          <w:b/>
          <w:bCs/>
          <w:color w:val="2E7D32"/>
          <w:sz w:val="24"/>
          <w:szCs w:val="24"/>
        </w:rPr>
        <w:t>Project Schedule — Track 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1440"/>
        <w:gridCol w:w="5760"/>
        <w:gridCol w:w="2160"/>
      </w:tblGrid>
      <w:tr>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Milestone</w:t>
            </w:r>
          </w:p>
        </w:tc>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Description</w:t>
            </w:r>
          </w:p>
        </w:tc>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Target</w:t>
            </w:r>
          </w:p>
        </w:tc>
      </w:tr>
      <w:tr>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1</w:t>
            </w:r>
          </w:p>
        </w:tc>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Site assessment, zoning analysis, and yield scenario configurations (Options B, A+FW12, D) delivered</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 Week of April 28, 2026</w:t>
            </w:r>
          </w:p>
        </w:tc>
      </w:tr>
      <w:tr>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1–2</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Construction type matrix — four systems (CLT/SIP-Hybrid, Modular, Stick-Build, Garage-Base) analyzed across all yield options; ROM cost ranges issued</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 Week of May 4, 2026</w:t>
            </w:r>
          </w:p>
        </w:tc>
      </w:tr>
      <w:tr>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2</w:t>
            </w:r>
          </w:p>
        </w:tc>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Sustainability add-alternate analysis (geothermal, solar PV, rainwater harvesting); PACE and virtual net metering applicability</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 Week of May 4, 2026</w:t>
            </w:r>
          </w:p>
        </w:tc>
      </w:tr>
      <w:tr>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2–3</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3D site yield study and visualization; solar access analysis; photorealistic perspectives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 Week of May 11, 2026</w:t>
            </w:r>
          </w:p>
        </w:tc>
      </w:tr>
      <w:tr>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3</w:t>
            </w:r>
          </w:p>
        </w:tc>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Subsidy gap and grant program memo — Delaware Catalyst Fund, HOME, DSHA fit analysis</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 Week of May 11, 2026</w:t>
            </w:r>
          </w:p>
        </w:tc>
      </w:tr>
      <w:tr>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3–4</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 presentation package (PPTX + PDF) — all scenarios, costs, sustainability options, subsidy gap</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 Week of May 18, 2026</w:t>
            </w:r>
          </w:p>
        </w:tc>
      </w:tr>
      <w:tr>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4</w:t>
            </w:r>
          </w:p>
        </w:tc>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Gate 0 ROM lock — cost estimates reconciled and locked; ALDDB entry initiated</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 Week of May 18, 2026</w:t>
            </w:r>
          </w:p>
        </w:tc>
      </w:tr>
    </w:tbl>
    <w:p>
      <w:pPr>
        <w:spacing w:before="60" w:after="0"/>
      </w:pPr>
    </w:p>
    <w:p>
      <w:pPr>
        <w:spacing w:before="40" w:after="80"/>
      </w:pPr>
      <w:r>
        <w:rPr>
          <w:i/>
          <w:iCs/>
          <w:color w:val="888888"/>
          <w:sz w:val="19"/>
          <w:szCs w:val="19"/>
        </w:rPr>
        <w:t>All milestone dates are contingent on receipt of retainer and executed PSA within three (3) business days of proposal authorization.</w:t>
      </w:r>
    </w:p>
    <w:p>
      <w:r>
        <w:br w:type="page"/>
      </w:r>
    </w:p>
    <w:p>
      <w:pPr>
        <w:shd w:val="clear" w:color="auto" w:fill="CCCCCC"/>
        <w:spacing w:before="0" w:after="0"/>
      </w:pPr>
      <w:r>
        <w:rPr>
          <w:b/>
          <w:bCs/>
          <w:color w:val="444444"/>
          <w:sz w:val="29"/>
          <w:szCs w:val="29"/>
        </w:rPr>
        <w:t xml:space="preserve">03.  Scope of Services</w:t>
      </w:r>
    </w:p>
    <w:p>
      <w:pPr>
        <w:spacing w:before="80" w:after="0"/>
      </w:pPr>
    </w:p>
    <w:p>
      <w:pPr>
        <w:spacing w:before="40" w:after="80"/>
      </w:pPr>
      <w:r>
        <w:rPr>
          <w:color w:val="1F2937"/>
          <w:sz w:val="21"/>
          <w:szCs w:val="21"/>
        </w:rPr>
        <w:t>M4D proposes services in two tracks. Track A — Predevelopment Intelligence — is authorized and delivered as a standalone fixed-fee engagement. Track B — Architecture &amp; Engineering — is authorized separately upon WHA’s written selection of construction type and yield option.</w:t>
      </w:r>
    </w:p>
    <w:p>
      <w:pPr>
        <w:spacing w:before="80" w:after="0"/>
      </w:pPr>
    </w:p>
    <w:p>
      <w:pPr>
        <w:pBdr>
          <w:bottom w:val="single" w:sz="6" w:space="1" w:color="2E7D32"/>
        </w:pBdr>
        <w:spacing w:before="200" w:after="80"/>
      </w:pPr>
      <w:r>
        <w:rPr>
          <w:b/>
          <w:bCs/>
          <w:color w:val="2E7D32"/>
          <w:sz w:val="24"/>
          <w:szCs w:val="24"/>
        </w:rPr>
        <w:t xml:space="preserve">3.1  Track A — Predevelopment Intelligence  (Fixed Fee: $16,235)</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480"/>
        <w:gridCol w:w="4080"/>
        <w:gridCol w:w="2400"/>
        <w:gridCol w:w="2400"/>
      </w:tblGrid>
      <w:tr>
        <w:tc>
          <w:tcPr>
            <w:tcW w:w="4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Item</w:t>
            </w:r>
          </w:p>
        </w:tc>
        <w:tc>
          <w:tcPr>
            <w:tcW w:w="40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Deliverable</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Format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Schedule</w:t>
            </w:r>
          </w:p>
        </w:tc>
      </w:tr>
      <w:tr>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A1</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Site Assessment — parcel confirmation, governing zoning analysis, Chapter 48 R-3 standards, applicable overlays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Memo / Data Table</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1</w:t>
            </w:r>
          </w:p>
        </w:tc>
      </w:tr>
      <w:tr>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A2</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Yield Scenario Analysis — fee-simple lot configurations and unit counts for Options B, A+FW12, and D; regulatory envelope confirmation</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Report + Site Diagrams</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1</w:t>
            </w:r>
          </w:p>
        </w:tc>
      </w:tr>
      <w:tr>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A3</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Construction Type Matrix — four systems (CLT/SIP-Hybrid, Off-Site Modular, Stick-Build, Garage-Base) analyzed across all yield options with per-unit cost and gap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Matrix Report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1–2</w:t>
            </w:r>
          </w:p>
        </w:tc>
      </w:tr>
      <w:tr>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A4</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Sustainability Add-Alternate Analysis — geothermal HVAC (shared bore field), community solar PV aisle canopy, and rainwater harvesting; PACE financing and virtual net metering applicability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Analysis Memo</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2</w:t>
            </w:r>
          </w:p>
        </w:tc>
      </w:tr>
      <w:tr>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A5</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3D Site Yield Study &amp; Visualization — massing studies for all yield options; solar access analysis; site plan photorealistic perspectives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3D Visualizations + Site Plan</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2–3</w:t>
            </w:r>
          </w:p>
        </w:tc>
      </w:tr>
      <w:tr>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A6</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 Presentation Package — yield option comparison, construction cost matrix, sustainability options, and subsidy gap analysis</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Presentation Deck  (PPTX + PDF)</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3–4</w:t>
            </w:r>
          </w:p>
        </w:tc>
      </w:tr>
      <w:tr>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A7</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Subsidy Gap &amp; Grant Program Memo — Delaware Catalyst Fund, HOME, and DSHA program fit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Memo</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3</w:t>
            </w:r>
          </w:p>
        </w:tc>
      </w:tr>
      <w:tr>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A8</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Gate 0 ROM Lock — cost estimates reconciled and locked; ALDDB entry initiated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Summary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4</w:t>
            </w:r>
          </w:p>
        </w:tc>
      </w:tr>
    </w:tbl>
    <w:p>
      <w:pPr>
        <w:spacing w:before="100" w:after="0"/>
      </w:pPr>
    </w:p>
    <w:p>
      <w:pPr>
        <w:pBdr>
          <w:bottom w:val="single" w:sz="6" w:space="1" w:color="2E7D32"/>
        </w:pBdr>
        <w:spacing w:before="200" w:after="80"/>
      </w:pPr>
      <w:r>
        <w:rPr>
          <w:b/>
          <w:bCs/>
          <w:color w:val="2E7D32"/>
          <w:sz w:val="24"/>
          <w:szCs w:val="24"/>
        </w:rPr>
        <w:t xml:space="preserve">3.2  Track B — Architecture &amp; Engineering Services  (Lump Sum by Phase)</w:t>
      </w:r>
    </w:p>
    <w:p>
      <w:pPr>
        <w:spacing w:before="40" w:after="80"/>
      </w:pPr>
      <w:r>
        <w:rPr>
          <w:color w:val="1F2937"/>
          <w:sz w:val="21"/>
          <w:szCs w:val="21"/>
        </w:rPr>
        <w:t>Track B is authorized separately following WHA’s written selection of yield option and construction type. Fees below are based on the 36-unit baseline; Yield Option D (54 units) will be subject to a fee addendum reflecting the additional design scope.</w:t>
      </w:r>
    </w:p>
    <w:p>
      <w:pPr>
        <w:spacing w:before="6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900"/>
        <w:gridCol w:w="3780"/>
        <w:gridCol w:w="2040"/>
        <w:gridCol w:w="2640"/>
      </w:tblGrid>
      <w:tr>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Phase</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Scope</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Basis</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Fee</w:t>
            </w:r>
          </w:p>
        </w:tc>
      </w:tr>
      <w:t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B1</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Schematic Design — selected yield option; unit plan types; 3D visualizations; site plan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$11,700</w:t>
            </w:r>
          </w:p>
        </w:tc>
      </w:tr>
      <w:t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B2</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Design Development — system coordination; structural and panel coordination</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Lump Sum</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$17,550</w:t>
            </w:r>
          </w:p>
        </w:tc>
      </w:tr>
      <w:t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B3</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Construction Documents — permit-ready stamped set</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$35,100</w:t>
            </w:r>
          </w:p>
        </w:tc>
      </w:tr>
      <w:t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B4</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Permitting &amp; AHJ Coordination — City of Wilmington permit submission; plan review response</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Hourly NTE</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$5,250</w:t>
            </w:r>
          </w:p>
        </w:tc>
      </w:tr>
      <w:t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B5</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Construction Administration — site observation; RFI/submittal review; punch list</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Hourly NTE</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$9,450</w:t>
            </w:r>
          </w:p>
        </w:tc>
      </w:tr>
      <w:t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B6</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Reimbursable Expenses — printing, travel, plots (billed at cost)</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Actual</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~$4,000</w:t>
            </w:r>
          </w:p>
        </w:tc>
      </w:tr>
    </w:tbl>
    <w:p>
      <w:pPr>
        <w:spacing w:before="80" w:after="0"/>
      </w:pPr>
    </w:p>
    <w:p>
      <w:pPr>
        <w:spacing w:before="40" w:after="80"/>
      </w:pPr>
      <w:r>
        <w:rPr>
          <w:color w:val="1F2937"/>
          <w:sz w:val="21"/>
          <w:szCs w:val="21"/>
        </w:rPr>
        <w:t>Subconsultants (Civil Engineer, Structural Engineer, MEP Engineer) are not included in the M4D fee. Budget approximately 12% of construction cost. Subconsultants will be engaged per written authorization from WHA and M4D.</w:t>
      </w:r>
    </w:p>
    <w:p>
      <w:r>
        <w:br w:type="page"/>
      </w:r>
    </w:p>
    <w:p>
      <w:pPr>
        <w:shd w:val="clear" w:color="auto" w:fill="CCCCCC"/>
        <w:spacing w:before="0" w:after="0"/>
      </w:pPr>
      <w:r>
        <w:rPr>
          <w:b/>
          <w:bCs/>
          <w:color w:val="444444"/>
          <w:sz w:val="29"/>
          <w:szCs w:val="29"/>
        </w:rPr>
        <w:t xml:space="preserve">04.  Fee Summary</w:t>
      </w:r>
    </w:p>
    <w:p>
      <w:pPr>
        <w:spacing w:before="80" w:after="0"/>
      </w:pPr>
    </w:p>
    <w:p>
      <w:pPr>
        <w:pBdr>
          <w:bottom w:val="single" w:sz="6" w:space="1" w:color="2E7D32"/>
        </w:pBdr>
        <w:spacing w:before="200" w:after="80"/>
      </w:pPr>
      <w:r>
        <w:rPr>
          <w:b/>
          <w:bCs/>
          <w:color w:val="2E7D32"/>
          <w:sz w:val="24"/>
          <w:szCs w:val="24"/>
        </w:rPr>
        <w:t xml:space="preserve">4.1  Track A — Predevelopment Intelligence  (Fixed Fee)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540"/>
        <w:gridCol w:w="4020"/>
        <w:gridCol w:w="1440"/>
        <w:gridCol w:w="1440"/>
        <w:gridCol w:w="1920"/>
      </w:tblGrid>
      <w:tr>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Item</w:t>
            </w:r>
          </w:p>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Service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Hrs (Est.)</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Rate</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Fee</w:t>
            </w:r>
          </w:p>
        </w:tc>
      </w:tr>
      <w:tr>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A1</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Site Assessment &amp; Zoning Analysis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$3,330</w:t>
            </w:r>
          </w:p>
        </w:tc>
      </w:tr>
      <w:tr>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A2</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Yield Scenario Analysis + Site Diagrams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24</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$4,440</w:t>
            </w:r>
          </w:p>
        </w:tc>
      </w:tr>
      <w:tr>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A3</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Construction Type Matrix (4 systems × 3 yield options)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$1,480</w:t>
            </w:r>
          </w:p>
        </w:tc>
      </w:tr>
      <w:tr>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A4</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Sustainability Add-Alternate Analysis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$1,110</w:t>
            </w:r>
          </w:p>
        </w:tc>
      </w:tr>
      <w:tr>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A5</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3D Site Yield Study &amp; Visualization</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$1,980</w:t>
            </w:r>
          </w:p>
        </w:tc>
      </w:tr>
      <w:tr>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A6</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 Presentation Package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10</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$165/hr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$1,650</w:t>
            </w:r>
          </w:p>
        </w:tc>
      </w:tr>
      <w:tr>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A7</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Subsidy Gap &amp; Grant Program Memo</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$1,320</w:t>
            </w:r>
          </w:p>
        </w:tc>
      </w:tr>
      <w:tr>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A8</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Gate 0 ROM Lock</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5</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$925</w:t>
            </w:r>
          </w:p>
        </w:tc>
      </w:tr>
      <w:tr>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
            </w:r>
          </w:p>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TRACK A TOTAL — FIXED FEE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91 hrs</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$16,235</w:t>
            </w:r>
          </w:p>
        </w:tc>
      </w:tr>
    </w:tbl>
    <w:p>
      <w:pPr>
        <w:spacing w:before="100" w:after="0"/>
      </w:pPr>
    </w:p>
    <w:p>
      <w:pPr>
        <w:pBdr>
          <w:bottom w:val="single" w:sz="6" w:space="1" w:color="2E7D32"/>
        </w:pBdr>
        <w:spacing w:before="200" w:after="80"/>
      </w:pPr>
      <w:r>
        <w:rPr>
          <w:b/>
          <w:bCs/>
          <w:color w:val="2E7D32"/>
          <w:sz w:val="24"/>
          <w:szCs w:val="24"/>
        </w:rPr>
        <w:t xml:space="preserve">4.2  Track B — Architecture &amp; Engineering  (Summary for Planning Purposes)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900"/>
        <w:gridCol w:w="5400"/>
        <w:gridCol w:w="3060"/>
      </w:tblGrid>
      <w:tr>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Phase</w:t>
            </w:r>
          </w:p>
        </w:tc>
        <w:tc>
          <w:tcPr>
            <w:tcW w:w="5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Scope</w:t>
            </w:r>
          </w:p>
        </w:tc>
        <w:tc>
          <w:tcPr>
            <w:tcW w:w="30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Fee</w:t>
            </w:r>
          </w:p>
        </w:tc>
      </w:tr>
      <w:t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B1–B3</w:t>
            </w:r>
          </w:p>
        </w:tc>
        <w:tc>
          <w:tcPr>
            <w:tcW w:w="5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Design Phases — SD, DD, Construction Documents (lump sum)</w:t>
            </w:r>
          </w:p>
        </w:tc>
        <w:tc>
          <w:tcPr>
            <w:tcW w:w="30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$64,350</w:t>
            </w:r>
          </w:p>
        </w:tc>
      </w:tr>
      <w:t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B4–B5</w:t>
            </w:r>
          </w:p>
        </w:tc>
        <w:tc>
          <w:tcPr>
            <w:tcW w:w="5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Permitting + Construction Administration (hourly NTE)</w:t>
            </w:r>
          </w:p>
        </w:tc>
        <w:tc>
          <w:tcPr>
            <w:tcW w:w="30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$14,700</w:t>
            </w:r>
          </w:p>
        </w:tc>
      </w:tr>
      <w:t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B6</w:t>
            </w:r>
          </w:p>
        </w:tc>
        <w:tc>
          <w:tcPr>
            <w:tcW w:w="5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Reimbursable Expenses (at cost)</w:t>
            </w:r>
          </w:p>
        </w:tc>
        <w:tc>
          <w:tcPr>
            <w:tcW w:w="30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~$4,000</w:t>
            </w:r>
          </w:p>
        </w:tc>
      </w:tr>
      <w:tr>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
            </w:r>
          </w:p>
        </w:tc>
        <w:tc>
          <w:tcPr>
            <w:tcW w:w="5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TRACK B SUBTOTAL</w:t>
            </w:r>
          </w:p>
        </w:tc>
        <w:tc>
          <w:tcPr>
            <w:tcW w:w="30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$83,050</w:t>
            </w:r>
          </w:p>
        </w:tc>
      </w:tr>
    </w:tbl>
    <w:p>
      <w:pPr>
        <w:spacing w:before="100" w:after="0"/>
      </w:pPr>
    </w:p>
    <w:p>
      <w:pPr>
        <w:pBdr>
          <w:bottom w:val="single" w:sz="6" w:space="1" w:color="2E7D32"/>
        </w:pBdr>
        <w:spacing w:before="200" w:after="80"/>
      </w:pPr>
      <w:r>
        <w:rPr>
          <w:b/>
          <w:bCs/>
          <w:color w:val="2E7D32"/>
          <w:sz w:val="24"/>
          <w:szCs w:val="24"/>
        </w:rPr>
        <w:t xml:space="preserve">4.3  Combined Fee &amp; Track A Credit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5760"/>
        <w:gridCol w:w="3600"/>
      </w:tblGrid>
      <w:tr>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Amount</w:t>
            </w:r>
          </w:p>
        </w:tc>
      </w:tr>
      <w:t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Track A — Predevelopment Intelligence (Fixed Fee)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$16,235</w:t>
            </w:r>
          </w:p>
        </w:tc>
      </w:tr>
      <w:t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Track B — Architecture &amp; Engineering</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$83,050</w:t>
            </w:r>
          </w:p>
        </w:tc>
      </w:tr>
      <w:t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Track B — Reimbursable Expenses (estimated)</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~$4,000</w:t>
            </w:r>
          </w:p>
        </w:tc>
      </w:tr>
      <w:tr>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COMBINED TOTAL — TRACKS A + B</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~$103,285</w:t>
            </w:r>
          </w:p>
        </w:tc>
      </w:tr>
      <w:tr>
        <w:tc>
          <w:tcPr>
            <w:tcW w:w="57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pPr>
              <w:spacing w:before="0" w:after="0"/>
            </w:pPr>
            <w:r>
              <w:rPr>
                <w:b/>
                <w:bCs/>
                <w:color w:val="B8860B"/>
                <w:sz w:val="22"/>
                <w:szCs w:val="22"/>
              </w:rPr>
              <w:t xml:space="preserve">★  TRACK A FEE CREDIT — </w:t>
            </w:r>
            <w:r>
              <w:rPr>
                <w:color w:val="B8860B"/>
                <w:sz w:val="21"/>
                <w:szCs w:val="21"/>
              </w:rPr>
              <w:t>Upon WHA’s written authorization of Track B (full design services through Construction Documents), M4D will credit the full Track A fee of $16,235 against the Track B Phase B1 invoice. This credit reflects M4D’s commitment to a long-term WHA relationship and its confidence in this project proceeding to full design authorization.</w:t>
            </w:r>
          </w:p>
        </w:tc>
        <w:tc>
          <w:tcPr>
            <w:tcW w:w="360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pPr>
              <w:spacing w:before="60" w:after="60"/>
              <w:jc w:val="center"/>
            </w:pPr>
            <w:r>
              <w:rPr>
                <w:b/>
                <w:bCs/>
                <w:color w:val="B8860B"/>
                <w:sz w:val="24"/>
                <w:szCs w:val="24"/>
              </w:rPr>
              <w:t>($16,235)</w:t>
            </w:r>
          </w:p>
        </w:tc>
      </w:tr>
      <w:tr>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2"/>
                <w:szCs w:val="22"/>
              </w:rPr>
              <w:t>NET TOTAL AFTER TRACK A CREDIT (upon Track B authorization)</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center"/>
            </w:pPr>
            <w:r>
              <w:rPr>
                <w:b/>
                <w:bCs/>
                <w:color w:val="2E7D32"/>
                <w:sz w:val="24"/>
                <w:szCs w:val="24"/>
              </w:rPr>
              <w:t>~$87,050</w:t>
            </w:r>
          </w:p>
        </w:tc>
      </w:tr>
    </w:tbl>
    <w:p>
      <w:r>
        <w:br w:type="page"/>
      </w:r>
    </w:p>
    <w:p>
      <w:pPr>
        <w:shd w:val="clear" w:color="auto" w:fill="CCCCCC"/>
        <w:spacing w:before="0" w:after="0"/>
      </w:pPr>
      <w:r>
        <w:rPr>
          <w:b/>
          <w:bCs/>
          <w:color w:val="444444"/>
          <w:sz w:val="29"/>
          <w:szCs w:val="29"/>
        </w:rPr>
        <w:t xml:space="preserve">05.  Recommended Next Steps</w:t>
      </w:r>
    </w:p>
    <w:p>
      <w:pPr>
        <w:spacing w:before="8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720"/>
        <w:gridCol w:w="5040"/>
        <w:gridCol w:w="1800"/>
        <w:gridCol w:w="1800"/>
      </w:tblGrid>
      <w:tr>
        <w:tc>
          <w:tcPr>
            <w:tcW w:w="7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w:t>
            </w:r>
          </w:p>
        </w:tc>
        <w:tc>
          <w:tcPr>
            <w:tcW w:w="5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Action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Lead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Timeline</w:t>
            </w:r>
          </w:p>
        </w:tc>
      </w:tr>
      <w:t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Authorize Track A — Predevelopment Intelligence ($16,235 fixed fee). Execute M4D PSA M2_2026_005.</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WHA + M4D</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Immediate</w:t>
            </w:r>
          </w:p>
        </w:tc>
      </w:tr>
      <w:t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2</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Request City of Wilmington Land Use pre-application meeting. Confirm: R-3 use; block face setback; 10-unit row fire code; rear yard easement interpretation for yield Option D; cross street as rear boundary for Option A+FW12; 15 ft rear yard variance feasibility.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1</w:t>
            </w:r>
          </w:p>
        </w:tc>
      </w:tr>
      <w:t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Order Phase I Environmental Site Assessment — prior school facility; possible asbestos, underground tanks, contaminated soil.</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1</w:t>
            </w:r>
          </w:p>
        </w:tc>
      </w:tr>
      <w:t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4</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Authorize geotechnical investigation (minimum 4 test borings). Required for foundation design and geothermal bore field feasibility.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1–2</w:t>
            </w:r>
          </w:p>
        </w:tc>
      </w:tr>
      <w:t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5</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Confirm WHA homebuyer income targeting (% AMI) and subordinate financing capacity — determines subsidy stack and Delaware Catalyst Fund eligibility.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WHA Finance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2</w:t>
            </w:r>
          </w:p>
        </w:tc>
      </w:tr>
      <w:t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6</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RFI to modular manufacturers: 18 ft wide × 35 ft deep × 2-story, 36–54 units, Mid-Atlantic delivery; confirm podium-set capability.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2</w:t>
            </w:r>
          </w:p>
        </w:tc>
      </w:tr>
      <w:t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7</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Confirm Delaware Catalyst Fund eligibility pathway with DSHA.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M4D + 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2–3</w:t>
            </w:r>
          </w:p>
        </w:tc>
      </w:tr>
      <w:t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8</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Confirm Energize Delaware PACE eligibility for individual fee-simple lots; confirm Delmarva Power virtual net metering for HOA subscriber structure.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2–3</w:t>
            </w:r>
          </w:p>
        </w:tc>
      </w:tr>
      <w:t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9</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WHA presentation — construction type options, yield configurations, ROM comparison, sustainability systems.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M4D + 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4–5</w:t>
            </w:r>
          </w:p>
        </w:tc>
      </w:tr>
      <w:t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10</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 construction type and yield option selection; written authorization of Track B. Track A credit applied at Phase B1 invoice.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Post-presentation</w:t>
            </w:r>
          </w:p>
        </w:tc>
      </w:tr>
    </w:tbl>
    <w:p>
      <w:r>
        <w:br w:type="page"/>
      </w:r>
    </w:p>
    <w:p>
      <w:pPr>
        <w:shd w:val="clear" w:color="auto" w:fill="CCCCCC"/>
        <w:spacing w:before="0" w:after="0"/>
      </w:pPr>
      <w:r>
        <w:rPr>
          <w:b/>
          <w:bCs/>
          <w:color w:val="444444"/>
          <w:sz w:val="29"/>
          <w:szCs w:val="29"/>
        </w:rPr>
        <w:t xml:space="preserve">06.  Authorization — Track A</w:t>
      </w:r>
    </w:p>
    <w:p>
      <w:pPr>
        <w:spacing w:before="80" w:after="0"/>
      </w:pPr>
    </w:p>
    <w:p>
      <w:pPr>
        <w:spacing w:before="40" w:after="80"/>
      </w:pPr>
      <w:r>
        <w:rPr>
          <w:color w:val="1F2937"/>
          <w:sz w:val="21"/>
          <w:szCs w:val="21"/>
        </w:rPr>
        <w:t>To authorize Track A services, please execute this proposal and return a signed copy to M4D. A Professional Services Agreement will be issued upon receipt. Services commence within three (3) business days of executed PSA and receipt of retainer.</w:t>
      </w:r>
    </w:p>
    <w:p>
      <w:pPr>
        <w:spacing w:before="8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4680"/>
        <w:gridCol w:w="4680"/>
      </w:tblGrid>
      <w:tr>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pPr>
              <w:spacing w:before="0" w:after="60"/>
            </w:pPr>
            <w:r>
              <w:rPr>
                <w:b/>
                <w:bCs/>
                <w:color w:val="444444"/>
                <w:sz w:val="21"/>
                <w:szCs w:val="21"/>
              </w:rPr>
              <w:t>Track A Fixed Fee</w:t>
            </w:r>
          </w:p>
          <w:p>
            <w:pPr>
              <w:spacing w:before="0" w:after="60"/>
            </w:pPr>
            <w:r>
              <w:rPr>
                <w:b/>
                <w:bCs/>
                <w:color w:val="2E7D32"/>
                <w:sz w:val="35"/>
                <w:szCs w:val="35"/>
              </w:rPr>
              <w:t>$16,235.00</w:t>
            </w:r>
          </w:p>
          <w:p>
            <w:pPr>
              <w:spacing w:before="0" w:after="40"/>
            </w:pPr>
            <w:r>
              <w:rPr>
                <w:color w:val="888888"/>
                <w:sz w:val="19"/>
                <w:szCs w:val="19"/>
              </w:rPr>
              <w:t xml:space="preserve">Retainer (50% due upon authorization):  $8,117.50</w:t>
            </w:r>
          </w:p>
          <w:p>
            <w:pPr>
              <w:spacing w:before="0" w:after="0"/>
            </w:pPr>
            <w:r>
              <w:rPr>
                <w:color w:val="888888"/>
                <w:sz w:val="19"/>
                <w:szCs w:val="19"/>
              </w:rPr>
              <w:t>Balance due upon delivery of final Track A deliverables.</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pPr>
              <w:spacing w:before="0" w:after="60"/>
            </w:pPr>
            <w:r>
              <w:rPr>
                <w:color w:val="444444"/>
                <w:sz w:val="21"/>
                <w:szCs w:val="21"/>
              </w:rPr>
              <w:t>Delivery: 4 weeks from written authorization</w:t>
            </w:r>
          </w:p>
          <w:p>
            <w:pPr>
              <w:spacing w:before="0" w:after="60"/>
            </w:pPr>
            <w:r>
              <w:rPr>
                <w:color w:val="444444"/>
                <w:sz w:val="21"/>
                <w:szCs w:val="21"/>
              </w:rPr>
              <w:t>Governing agreement: M4D PSA M2_2026_005 (to be issued)</w:t>
            </w:r>
          </w:p>
          <w:p>
            <w:pPr>
              <w:spacing w:before="0" w:after="80"/>
            </w:pPr>
            <w:r>
              <w:rPr>
                <w:color w:val="444444"/>
                <w:sz w:val="21"/>
                <w:szCs w:val="21"/>
              </w:rPr>
              <w:t>Invoice: Net 15 days</w:t>
            </w:r>
          </w:p>
          <w:p>
            <w:pPr>
              <w:spacing w:before="0" w:after="0"/>
            </w:pPr>
            <w:r>
              <w:rPr>
                <w:i/>
                <w:iCs/>
                <w:color w:val="888888"/>
                <w:sz w:val="19"/>
                <w:szCs w:val="19"/>
              </w:rPr>
              <w:t>Payment: Check payable to Merge 4 Design LLC, or ACH — banking instructions will be provided separately upon execution.</w:t>
            </w:r>
          </w:p>
        </w:tc>
      </w:tr>
    </w:tbl>
    <w:p>
      <w:pPr>
        <w:spacing w:before="12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4680"/>
        <w:gridCol w:w="4680"/>
      </w:tblGrid>
      <w:tr>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pPr>
              <w:spacing w:before="0" w:after="100"/>
            </w:pPr>
            <w:r>
              <w:rPr>
                <w:b/>
                <w:bCs/>
                <w:color w:val="888888"/>
                <w:sz w:val="19"/>
                <w:szCs w:val="19"/>
              </w:rPr>
              <w:t>AUTHORIZED BY — MERGE 4 DESIGN LLC</w:t>
            </w:r>
          </w:p>
          <w:p>
            <w:pPr>
              <w:spacing w:before="0" w:after="60"/>
            </w:pPr>
            <w:r>
              <w:rPr>
                <w:color w:val="444444"/>
                <w:sz w:val="22"/>
                <w:szCs w:val="22"/>
              </w:rPr>
              <w:t>_______________________________________</w:t>
            </w:r>
          </w:p>
          <w:p>
            <w:pPr>
              <w:spacing w:before="0" w:after="40"/>
            </w:pPr>
            <w:r>
              <w:rPr>
                <w:color w:val="444444"/>
                <w:sz w:val="21"/>
                <w:szCs w:val="21"/>
              </w:rPr>
              <w:t xml:space="preserve">Trevor Knight,  Director of Business Development</w:t>
            </w:r>
          </w:p>
          <w:p>
            <w:pPr>
              <w:spacing w:before="0" w:after="40"/>
            </w:pPr>
            <w:r>
              <w:rPr>
                <w:color w:val="444444"/>
                <w:sz w:val="21"/>
                <w:szCs w:val="21"/>
              </w:rPr>
              <w:t>Merge 4 Design LLC</w:t>
            </w:r>
          </w:p>
          <w:p>
            <w:pPr>
              <w:spacing w:before="0" w:after="100"/>
            </w:pPr>
            <w:r>
              <w:rPr>
                <w:color w:val="444444"/>
                <w:sz w:val="21"/>
                <w:szCs w:val="21"/>
              </w:rPr>
              <w:t>Date: ________________________</w:t>
            </w:r>
          </w:p>
          <w:p>
            <w:pPr>
              <w:spacing w:before="0" w:after="60"/>
            </w:pPr>
            <w:r>
              <w:rPr>
                <w:color w:val="444444"/>
                <w:sz w:val="22"/>
                <w:szCs w:val="22"/>
              </w:rPr>
              <w:t>_______________________________________</w:t>
            </w:r>
          </w:p>
          <w:p>
            <w:pPr>
              <w:spacing w:before="0" w:after="40"/>
            </w:pPr>
            <w:r>
              <w:rPr>
                <w:color w:val="444444"/>
                <w:sz w:val="21"/>
                <w:szCs w:val="21"/>
              </w:rPr>
              <w:t xml:space="preserve">David C. Ainsworth AIA,  Principal-in-Charge</w:t>
            </w:r>
          </w:p>
          <w:p>
            <w:pPr>
              <w:spacing w:before="0" w:after="40"/>
            </w:pPr>
            <w:r>
              <w:rPr>
                <w:color w:val="444444"/>
                <w:sz w:val="21"/>
                <w:szCs w:val="21"/>
              </w:rPr>
              <w:t xml:space="preserve">Aubyn Architecture LLC  (AOR)</w:t>
            </w:r>
          </w:p>
          <w:p>
            <w:pPr>
              <w:spacing w:before="0" w:after="0"/>
            </w:pPr>
            <w:r>
              <w:rPr>
                <w:color w:val="444444"/>
                <w:sz w:val="21"/>
                <w:szCs w:val="21"/>
              </w:rPr>
              <w:t>Date: ________________________</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pPr>
              <w:spacing w:before="0" w:after="100"/>
            </w:pPr>
            <w:r>
              <w:rPr>
                <w:b/>
                <w:bCs/>
                <w:color w:val="888888"/>
                <w:sz w:val="19"/>
                <w:szCs w:val="19"/>
              </w:rPr>
              <w:t>AUTHORIZED BY — WILMINGTON HOUSING AUTHORITY</w:t>
            </w:r>
          </w:p>
          <w:p>
            <w:pPr>
              <w:spacing w:before="0" w:after="60"/>
            </w:pPr>
            <w:r>
              <w:rPr>
                <w:color w:val="444444"/>
                <w:sz w:val="22"/>
                <w:szCs w:val="22"/>
              </w:rPr>
              <w:t>_______________________________________</w:t>
            </w:r>
          </w:p>
          <w:p>
            <w:pPr>
              <w:spacing w:before="0" w:after="40"/>
            </w:pPr>
            <w:r>
              <w:rPr>
                <w:color w:val="444444"/>
                <w:sz w:val="21"/>
                <w:szCs w:val="21"/>
              </w:rPr>
              <w:t>Name: ________________________</w:t>
            </w:r>
          </w:p>
          <w:p>
            <w:pPr>
              <w:spacing w:before="0" w:after="40"/>
            </w:pPr>
            <w:r>
              <w:rPr>
                <w:color w:val="444444"/>
                <w:sz w:val="21"/>
                <w:szCs w:val="21"/>
              </w:rPr>
              <w:t>Title: ________________________</w:t>
            </w:r>
          </w:p>
          <w:p>
            <w:pPr>
              <w:spacing w:before="0" w:after="0"/>
            </w:pPr>
            <w:r>
              <w:rPr>
                <w:color w:val="444444"/>
                <w:sz w:val="21"/>
                <w:szCs w:val="21"/>
              </w:rPr>
              <w:t>Date: ________________________</w:t>
            </w:r>
          </w:p>
        </w:tc>
      </w:tr>
    </w:tbl>
    <w:p>
      <w:pPr>
        <w:spacing w:before="160" w:after="0"/>
      </w:pPr>
    </w:p>
    <w:p>
      <w:pPr>
        <w:pBdr>
          <w:top w:val="single" w:sz="6" w:space="1" w:color="CCCCCC"/>
        </w:pBdr>
        <w:spacing w:before="80" w:after="0"/>
      </w:pPr>
      <w:r>
        <w:rPr>
          <w:b/>
          <w:bCs/>
          <w:color w:val="444444"/>
          <w:sz w:val="19"/>
          <w:szCs w:val="19"/>
        </w:rPr>
        <w:t xml:space="preserve">FLAG FOR LEGAL/FINANCIAL REVIEW:  </w:t>
      </w:r>
      <w:r>
        <w:rPr>
          <w:color w:val="888888"/>
          <w:sz w:val="19"/>
          <w:szCs w:val="19"/>
        </w:rPr>
        <w:t>Confirm WHA procurement requirements (DBE/MBE thresholds, HUD Section 3, City of Wilmington local hiring provisions) before contract execution. This proposal does not constitute a contract. Professional legal review recommended prior to execution.</w:t>
      </w:r>
    </w:p>
    <w:sectPr>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B2BF3" w14:textId="77777777" w:rsidR="008018E2" w:rsidRDefault="008018E2">
      <w:r>
        <w:separator/>
      </w:r>
    </w:p>
  </w:endnote>
  <w:endnote w:type="continuationSeparator" w:id="0">
    <w:p w14:paraId="415B5CC8" w14:textId="77777777" w:rsidR="008018E2" w:rsidRDefault="00801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54ECB0ED" w14:textId="77777777" w:rsidR="001E11F9" w:rsidRDefault="001E11F9" w:rsidP="00793DF1">
            <w:pPr>
              <w:pStyle w:val="Footer"/>
            </w:pPr>
          </w:p>
          <w:p w14:paraId="174C4E64" w14:textId="77777777"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65680115"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B38C3" w14:textId="77777777" w:rsidR="008018E2" w:rsidRDefault="008018E2">
      <w:r>
        <w:separator/>
      </w:r>
    </w:p>
  </w:footnote>
  <w:footnote w:type="continuationSeparator" w:id="0">
    <w:p w14:paraId="67BD9FE6" w14:textId="77777777" w:rsidR="008018E2" w:rsidRDefault="00801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6BED"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667C18AB" w14:textId="77777777"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41CB5374" w14:textId="77777777" w:rsidR="004073D4" w:rsidRPr="001E11F9" w:rsidRDefault="004073D4" w:rsidP="004073D4">
    <w:pPr>
      <w:ind w:left="720" w:firstLine="720"/>
      <w:rPr>
        <w:color w:val="374151"/>
        <w:sz w:val="12"/>
        <w:szCs w:val="12"/>
      </w:rPr>
    </w:pPr>
  </w:p>
  <w:p w14:paraId="304D623B" w14:textId="77777777" w:rsidR="004073D4" w:rsidRDefault="00820CF8" w:rsidP="004073D4">
    <w:pPr>
      <w:ind w:left="720" w:firstLine="720"/>
      <w:rPr>
        <w:color w:val="374151"/>
        <w:sz w:val="16"/>
        <w:szCs w:val="16"/>
      </w:rPr>
    </w:pPr>
    <w:r>
      <w:rPr>
        <w:color w:val="374151"/>
        <w:sz w:val="16"/>
        <w:szCs w:val="16"/>
      </w:rPr>
      <w:t xml:space="preserve">500 Delaware Ave., Suite 1 #1551, </w:t>
    </w:r>
  </w:p>
  <w:p w14:paraId="23BE4A27" w14:textId="7777777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562F700A" w14:textId="77777777" w:rsidR="008F56B5" w:rsidRPr="004073D4" w:rsidRDefault="008F56B5" w:rsidP="004073D4">
    <w:pPr>
      <w:ind w:left="720" w:firstLine="720"/>
      <w:rPr>
        <w:color w:val="888888"/>
        <w:spacing w:val="40"/>
        <w:sz w:val="17"/>
        <w:szCs w:val="17"/>
      </w:rP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60" w:hanging="2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6E51"/>
    <w:rsid w:val="000912A3"/>
    <w:rsid w:val="00093C5E"/>
    <w:rsid w:val="001026E2"/>
    <w:rsid w:val="00120982"/>
    <w:rsid w:val="0019044D"/>
    <w:rsid w:val="001A71AE"/>
    <w:rsid w:val="001D39A1"/>
    <w:rsid w:val="001D3BDC"/>
    <w:rsid w:val="001E11F9"/>
    <w:rsid w:val="00206745"/>
    <w:rsid w:val="002831F3"/>
    <w:rsid w:val="002857C9"/>
    <w:rsid w:val="002A0628"/>
    <w:rsid w:val="002B0B05"/>
    <w:rsid w:val="002F1422"/>
    <w:rsid w:val="002F6AB6"/>
    <w:rsid w:val="00302A54"/>
    <w:rsid w:val="003466F0"/>
    <w:rsid w:val="00353F40"/>
    <w:rsid w:val="003661D5"/>
    <w:rsid w:val="003A0981"/>
    <w:rsid w:val="003A0AA8"/>
    <w:rsid w:val="003B2F58"/>
    <w:rsid w:val="003C10CE"/>
    <w:rsid w:val="003C43F7"/>
    <w:rsid w:val="003E23D1"/>
    <w:rsid w:val="004073D4"/>
    <w:rsid w:val="004379F1"/>
    <w:rsid w:val="00490D04"/>
    <w:rsid w:val="004A7D00"/>
    <w:rsid w:val="004B09FD"/>
    <w:rsid w:val="004B5C38"/>
    <w:rsid w:val="00500276"/>
    <w:rsid w:val="005118E8"/>
    <w:rsid w:val="00544CA9"/>
    <w:rsid w:val="0059239A"/>
    <w:rsid w:val="005A5284"/>
    <w:rsid w:val="005D4C8A"/>
    <w:rsid w:val="005F3D0A"/>
    <w:rsid w:val="00600D83"/>
    <w:rsid w:val="0061255E"/>
    <w:rsid w:val="00620546"/>
    <w:rsid w:val="00634DAD"/>
    <w:rsid w:val="00636FF9"/>
    <w:rsid w:val="006522DD"/>
    <w:rsid w:val="0068629D"/>
    <w:rsid w:val="006940FE"/>
    <w:rsid w:val="006A28CB"/>
    <w:rsid w:val="006E576E"/>
    <w:rsid w:val="0074204E"/>
    <w:rsid w:val="0075257C"/>
    <w:rsid w:val="00761A1B"/>
    <w:rsid w:val="00762C5A"/>
    <w:rsid w:val="00765BCE"/>
    <w:rsid w:val="00793DF1"/>
    <w:rsid w:val="007A5492"/>
    <w:rsid w:val="007C648E"/>
    <w:rsid w:val="007E2BC0"/>
    <w:rsid w:val="007E5F7A"/>
    <w:rsid w:val="007F5FCF"/>
    <w:rsid w:val="00800724"/>
    <w:rsid w:val="008018E2"/>
    <w:rsid w:val="00805D69"/>
    <w:rsid w:val="00820CF8"/>
    <w:rsid w:val="008E7529"/>
    <w:rsid w:val="008F56B5"/>
    <w:rsid w:val="00912E5B"/>
    <w:rsid w:val="0091618B"/>
    <w:rsid w:val="00920C13"/>
    <w:rsid w:val="0092151A"/>
    <w:rsid w:val="009474E2"/>
    <w:rsid w:val="009738E1"/>
    <w:rsid w:val="00974554"/>
    <w:rsid w:val="009761D8"/>
    <w:rsid w:val="0099113A"/>
    <w:rsid w:val="009B0B2F"/>
    <w:rsid w:val="009B2C36"/>
    <w:rsid w:val="00A2521B"/>
    <w:rsid w:val="00A6672B"/>
    <w:rsid w:val="00A7138E"/>
    <w:rsid w:val="00AA6D05"/>
    <w:rsid w:val="00B77D3A"/>
    <w:rsid w:val="00B8046C"/>
    <w:rsid w:val="00B91127"/>
    <w:rsid w:val="00BB29A6"/>
    <w:rsid w:val="00BD3960"/>
    <w:rsid w:val="00C90332"/>
    <w:rsid w:val="00CC74EA"/>
    <w:rsid w:val="00CD4BA7"/>
    <w:rsid w:val="00CD7C1F"/>
    <w:rsid w:val="00D154A5"/>
    <w:rsid w:val="00D46E82"/>
    <w:rsid w:val="00D7285E"/>
    <w:rsid w:val="00D87D55"/>
    <w:rsid w:val="00D93550"/>
    <w:rsid w:val="00D962B3"/>
    <w:rsid w:val="00DB665A"/>
    <w:rsid w:val="00E220A5"/>
    <w:rsid w:val="00E32453"/>
    <w:rsid w:val="00E63812"/>
    <w:rsid w:val="00E77C0F"/>
    <w:rsid w:val="00EC6043"/>
    <w:rsid w:val="00ED0F85"/>
    <w:rsid w:val="00ED4085"/>
    <w:rsid w:val="00EE1FC4"/>
    <w:rsid w:val="00EE2845"/>
    <w:rsid w:val="00EE37BC"/>
    <w:rsid w:val="00EE62FF"/>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1EDB5"/>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3308</Words>
  <Characters>19556</Characters>
  <Application>Microsoft Office Word</Application>
  <DocSecurity>0</DocSecurity>
  <Lines>1150</Lines>
  <Paragraphs>914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cp:lastPrinted>2026-03-26T14:15:00Z</cp:lastPrinted>
  <dcterms:created xsi:type="dcterms:W3CDTF">2026-04-16T13:48:00Z</dcterms:created>
  <dcterms:modified xsi:type="dcterms:W3CDTF">2026-04-16T13:48:00Z</dcterms:modified>
</cp:coreProperties>
</file>