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647B" w14:textId="77777777" w:rsidR="00F32119" w:rsidRDefault="00000000">
      <w:pPr>
        <w:spacing w:after="40"/>
      </w:pPr>
      <w:r>
        <w:rPr>
          <w:b/>
          <w:bCs/>
          <w:color w:val="5A6B2C"/>
          <w:spacing w:val="40"/>
          <w:sz w:val="22"/>
          <w:szCs w:val="22"/>
        </w:rPr>
        <w:t>M4ACADEMY</w:t>
      </w:r>
    </w:p>
    <w:p w14:paraId="234980BA" w14:textId="77777777" w:rsidR="00F32119" w:rsidRDefault="00000000">
      <w:pPr>
        <w:spacing w:after="260"/>
      </w:pPr>
      <w:r>
        <w:rPr>
          <w:color w:val="6E6E64"/>
          <w:sz w:val="18"/>
          <w:szCs w:val="18"/>
        </w:rPr>
        <w:t>Internal strategy package · For the team: David, Trevor, Leo, Travis, and Gwen Motley (Executive Director, L.E.E.P., Inc.)</w:t>
      </w:r>
    </w:p>
    <w:p w14:paraId="55DC2255" w14:textId="77777777" w:rsidR="00F32119" w:rsidRDefault="00000000">
      <w:pPr>
        <w:spacing w:after="60"/>
      </w:pPr>
      <w:r>
        <w:rPr>
          <w:rFonts w:ascii="Cambria" w:eastAsia="Cambria" w:hAnsi="Cambria" w:cs="Cambria"/>
          <w:b/>
          <w:bCs/>
          <w:sz w:val="33"/>
          <w:szCs w:val="33"/>
        </w:rPr>
        <w:t>M4Academy: The Origin Story and the Plan</w:t>
      </w:r>
    </w:p>
    <w:p w14:paraId="791DEAA5" w14:textId="77777777" w:rsidR="00F32119" w:rsidRDefault="00000000">
      <w:pPr>
        <w:spacing w:after="240"/>
      </w:pPr>
      <w:r>
        <w:rPr>
          <w:rFonts w:ascii="Cambria" w:eastAsia="Cambria" w:hAnsi="Cambria" w:cs="Cambria"/>
          <w:color w:val="5A6B2C"/>
          <w:sz w:val="23"/>
          <w:szCs w:val="23"/>
        </w:rPr>
        <w:t>Why we are building a school, why it starts with three public videos, and how it gets funded</w:t>
      </w:r>
    </w:p>
    <w:p w14:paraId="0BBFBEFF" w14:textId="77777777" w:rsidR="00F32119" w:rsidRDefault="00000000">
      <w:pPr>
        <w:spacing w:after="130" w:line="280" w:lineRule="auto"/>
      </w:pPr>
      <w:r>
        <w:rPr>
          <w:b/>
          <w:bCs/>
          <w:color w:val="B0442E"/>
        </w:rPr>
        <w:t xml:space="preserve">Internal — not for public circulation. </w:t>
      </w:r>
      <w:r>
        <w:rPr>
          <w:i/>
          <w:iCs/>
          <w:color w:val="6E6E64"/>
        </w:rPr>
        <w:t>Draft v0.1 · July 2, 2026 · Exhibits A and B attached.</w:t>
      </w:r>
    </w:p>
    <w:p w14:paraId="560EE446" w14:textId="77777777" w:rsidR="00F32119" w:rsidRDefault="00000000">
      <w:pPr>
        <w:pStyle w:val="Heading1"/>
        <w:spacing w:before="320" w:after="140"/>
      </w:pPr>
      <w:r>
        <w:rPr>
          <w:rFonts w:ascii="Cambria" w:eastAsia="Cambria" w:hAnsi="Cambria" w:cs="Cambria"/>
          <w:b/>
          <w:bCs/>
          <w:color w:val="1B1B12"/>
          <w:sz w:val="26"/>
          <w:szCs w:val="26"/>
        </w:rPr>
        <w:t>Where this comes from</w:t>
      </w:r>
    </w:p>
    <w:p w14:paraId="14582EA5" w14:textId="77777777" w:rsidR="00F32119" w:rsidRDefault="00000000">
      <w:pPr>
        <w:spacing w:after="130" w:line="280" w:lineRule="auto"/>
      </w:pPr>
      <w:r>
        <w:t xml:space="preserve">Every entity we operate keeps colliding with the same wall from a different direction. Aubyn Architecture meets clients after they have already built the illegal </w:t>
      </w:r>
      <w:proofErr w:type="gramStart"/>
      <w:r>
        <w:t>addition</w:t>
      </w:r>
      <w:proofErr w:type="gramEnd"/>
      <w:r>
        <w:t xml:space="preserve">, hired the wrong contractor, or discovered at resale that half their house was never permitted. M4Di's predevelopment work shows nonprofit developers losing projects in the gap between ambition and document literacy. Merge4Ward is building a manufacturing operation that will need workers who can read drawings and pass inspections — and that labor pool barely exists in our region. And L.E.E.P. serves a community in Wilmington that gets hurt by </w:t>
      </w:r>
      <w:proofErr w:type="gramStart"/>
      <w:r>
        <w:t>all of</w:t>
      </w:r>
      <w:proofErr w:type="gramEnd"/>
      <w:r>
        <w:t xml:space="preserve"> the above first and worst: unpermitted work, predatory contractors, and life-safety conditions nobody explained.</w:t>
      </w:r>
    </w:p>
    <w:p w14:paraId="160221EC" w14:textId="77777777" w:rsidR="00F32119" w:rsidRDefault="00000000">
      <w:pPr>
        <w:spacing w:after="130" w:line="280" w:lineRule="auto"/>
      </w:pPr>
      <w:r>
        <w:t xml:space="preserve">The wall is the same wall: </w:t>
      </w:r>
      <w:r>
        <w:rPr>
          <w:b/>
          <w:bCs/>
        </w:rPr>
        <w:t>the construction knowledge system was never taught to the people who live inside it.</w:t>
      </w:r>
      <w:r>
        <w:t xml:space="preserve"> M4Academy is our answer — the education layer of the ecosystem we already run: Aubyn designs it, Merge4Ward builds it, M4Di finances and de-risks it, and M4Academy teaches it.</w:t>
      </w:r>
    </w:p>
    <w:p w14:paraId="6ADC1421" w14:textId="77777777" w:rsidR="00F32119" w:rsidRDefault="00000000">
      <w:pPr>
        <w:pStyle w:val="Heading1"/>
        <w:spacing w:before="320" w:after="140"/>
      </w:pPr>
      <w:r>
        <w:rPr>
          <w:rFonts w:ascii="Cambria" w:eastAsia="Cambria" w:hAnsi="Cambria" w:cs="Cambria"/>
          <w:b/>
          <w:bCs/>
          <w:color w:val="1B1B12"/>
          <w:sz w:val="26"/>
          <w:szCs w:val="26"/>
        </w:rPr>
        <w:t>The model we're borrowing</w:t>
      </w:r>
    </w:p>
    <w:p w14:paraId="17FD1513" w14:textId="77777777" w:rsidR="00F32119" w:rsidRDefault="00000000">
      <w:pPr>
        <w:spacing w:after="130" w:line="280" w:lineRule="auto"/>
      </w:pPr>
      <w:r>
        <w:t xml:space="preserve">NMITE — the New Model Institute for Technology and Engineering in Hereford, England — took ten years to go from incorporation (2013) to its own degree-awarding powers (2023). The move that made it possible: it delivered education under an established partner's umbrella (the Open University validated its first degrees) while it built its own standing, anchored the whole institution in a regional economic-growth story rather than an enrollment story, and built a specialty center — advanced timber technology — that matched its region's industry. </w:t>
      </w:r>
    </w:p>
    <w:p w14:paraId="631E40B5" w14:textId="77777777" w:rsidR="00F32119" w:rsidRDefault="00000000">
      <w:pPr>
        <w:spacing w:after="130" w:line="280" w:lineRule="auto"/>
      </w:pPr>
      <w:r>
        <w:rPr>
          <w:b/>
          <w:bCs/>
        </w:rPr>
        <w:t xml:space="preserve">Our translation: L.E.E.P. is our Open University. </w:t>
      </w:r>
      <w:r>
        <w:t>M4Academy launches as a fiscally sponsored program of L.E.E.P., Inc. (MOU drafted, v0.1), taught at 805 Harrison Street and online, anchored in Wilmington's economic story, with mass timber and modular construction as our specialty center. The spin-out to a standalone 501(c)(3) is pre-wired in the MOU for when the program has proven itself — likely late 2027.</w:t>
      </w:r>
    </w:p>
    <w:p w14:paraId="1AA5528C" w14:textId="77777777" w:rsidR="00F32119" w:rsidRDefault="00000000">
      <w:pPr>
        <w:pStyle w:val="Heading1"/>
        <w:spacing w:before="320" w:after="140"/>
      </w:pPr>
      <w:r>
        <w:rPr>
          <w:rFonts w:ascii="Cambria" w:eastAsia="Cambria" w:hAnsi="Cambria" w:cs="Cambria"/>
          <w:b/>
          <w:bCs/>
          <w:color w:val="1B1B12"/>
          <w:sz w:val="26"/>
          <w:szCs w:val="26"/>
        </w:rPr>
        <w:t>What we have already built</w:t>
      </w:r>
    </w:p>
    <w:p w14:paraId="535C82D3" w14:textId="77777777" w:rsidR="00F32119" w:rsidRDefault="00000000">
      <w:pPr>
        <w:pStyle w:val="ListParagraph"/>
        <w:numPr>
          <w:ilvl w:val="0"/>
          <w:numId w:val="2"/>
        </w:numPr>
        <w:spacing w:after="130" w:line="280" w:lineRule="auto"/>
      </w:pPr>
      <w:r>
        <w:t xml:space="preserve">Two flagship courses, developed and packaged: Reading Construction Drawings &amp; Specifications (10 modules) and Building Construction Sequence &amp; Inspection Readiness (10 phases, 14 field </w:t>
      </w:r>
      <w:proofErr w:type="gramStart"/>
      <w:r>
        <w:t>checklists) —</w:t>
      </w:r>
      <w:proofErr w:type="gramEnd"/>
      <w:r>
        <w:t xml:space="preserve"> both with complete branded instructor decks, original diagrams, and speaker notes;</w:t>
      </w:r>
    </w:p>
    <w:p w14:paraId="1F13BAD0" w14:textId="77777777" w:rsidR="00F32119" w:rsidRDefault="00000000">
      <w:pPr>
        <w:pStyle w:val="ListParagraph"/>
        <w:numPr>
          <w:ilvl w:val="0"/>
          <w:numId w:val="2"/>
        </w:numPr>
        <w:spacing w:after="130" w:line="280" w:lineRule="auto"/>
      </w:pPr>
      <w:r>
        <w:t xml:space="preserve">A reference library (97_REFERENCES) of OSHA, HUD, APA, and manufacturer sources that </w:t>
      </w:r>
      <w:proofErr w:type="gramStart"/>
      <w:r>
        <w:t>doubles</w:t>
      </w:r>
      <w:proofErr w:type="gramEnd"/>
      <w:r>
        <w:t xml:space="preserve"> as course material and citation backbone;</w:t>
      </w:r>
    </w:p>
    <w:p w14:paraId="52F26F17" w14:textId="77777777" w:rsidR="00F32119" w:rsidRDefault="00000000">
      <w:pPr>
        <w:pStyle w:val="ListParagraph"/>
        <w:numPr>
          <w:ilvl w:val="0"/>
          <w:numId w:val="2"/>
        </w:numPr>
        <w:spacing w:after="130" w:line="280" w:lineRule="auto"/>
      </w:pPr>
      <w:r>
        <w:t>A draft fiscal sponsorship MOU with L.E.E.P., Inc. covering governance, IP, related-party safeguards, attribution, and spin-out;</w:t>
      </w:r>
    </w:p>
    <w:p w14:paraId="399CA1AB" w14:textId="77777777" w:rsidR="00F32119" w:rsidRDefault="00000000">
      <w:pPr>
        <w:pStyle w:val="ListParagraph"/>
        <w:numPr>
          <w:ilvl w:val="0"/>
          <w:numId w:val="2"/>
        </w:numPr>
        <w:spacing w:after="130" w:line="280" w:lineRule="auto"/>
      </w:pPr>
      <w:r>
        <w:lastRenderedPageBreak/>
        <w:t xml:space="preserve">An employer demand </w:t>
      </w:r>
      <w:proofErr w:type="gramStart"/>
      <w:r>
        <w:t>signal</w:t>
      </w:r>
      <w:proofErr w:type="gramEnd"/>
      <w:r>
        <w:t xml:space="preserve"> no training nonprofit in the region can match: Merge4Ward's own hiring pipeline plus Aubyn's consultant network.</w:t>
      </w:r>
    </w:p>
    <w:p w14:paraId="48F2EE91" w14:textId="77777777" w:rsidR="00F32119" w:rsidRDefault="00000000">
      <w:pPr>
        <w:pStyle w:val="Heading1"/>
        <w:spacing w:before="320" w:after="140"/>
      </w:pPr>
      <w:r>
        <w:rPr>
          <w:rFonts w:ascii="Cambria" w:eastAsia="Cambria" w:hAnsi="Cambria" w:cs="Cambria"/>
          <w:b/>
          <w:bCs/>
          <w:color w:val="1B1B12"/>
          <w:sz w:val="26"/>
          <w:szCs w:val="26"/>
        </w:rPr>
        <w:t>The strategic frame (say it this way, everywhere)</w:t>
      </w:r>
    </w:p>
    <w:p w14:paraId="2AB71B86" w14:textId="77777777" w:rsidR="00F32119" w:rsidRDefault="00000000">
      <w:pPr>
        <w:spacing w:after="130" w:line="280" w:lineRule="auto"/>
      </w:pPr>
      <w:r>
        <w:rPr>
          <w:i/>
          <w:iCs/>
        </w:rPr>
        <w:t xml:space="preserve">We are not “starting a school.” We are </w:t>
      </w:r>
      <w:r>
        <w:rPr>
          <w:b/>
          <w:bCs/>
          <w:i/>
          <w:iCs/>
        </w:rPr>
        <w:t>an employer-driven workforce training program, delivered by an established community nonprofit, with a classroom at 805 Harrison Street, a hybrid delivery model, and a guaranteed interview pipeline into mass timber manufacturing and design/AEC careers.</w:t>
      </w:r>
      <w:r>
        <w:rPr>
          <w:i/>
          <w:iCs/>
        </w:rPr>
        <w:t xml:space="preserve"> Every clause de-risks us for a funder: existing 501(c)(3), existing facility, existing employer demand.</w:t>
      </w:r>
    </w:p>
    <w:p w14:paraId="4DA7BE44" w14:textId="77777777" w:rsidR="00F32119" w:rsidRDefault="00000000">
      <w:pPr>
        <w:pStyle w:val="Heading1"/>
        <w:spacing w:before="320" w:after="140"/>
      </w:pPr>
      <w:r>
        <w:rPr>
          <w:rFonts w:ascii="Cambria" w:eastAsia="Cambria" w:hAnsi="Cambria" w:cs="Cambria"/>
          <w:b/>
          <w:bCs/>
          <w:color w:val="1B1B12"/>
          <w:sz w:val="26"/>
          <w:szCs w:val="26"/>
        </w:rPr>
        <w:t xml:space="preserve">Why the first </w:t>
      </w:r>
      <w:proofErr w:type="gramStart"/>
      <w:r>
        <w:rPr>
          <w:rFonts w:ascii="Cambria" w:eastAsia="Cambria" w:hAnsi="Cambria" w:cs="Cambria"/>
          <w:b/>
          <w:bCs/>
          <w:color w:val="1B1B12"/>
          <w:sz w:val="26"/>
          <w:szCs w:val="26"/>
        </w:rPr>
        <w:t>move</w:t>
      </w:r>
      <w:proofErr w:type="gramEnd"/>
      <w:r>
        <w:rPr>
          <w:rFonts w:ascii="Cambria" w:eastAsia="Cambria" w:hAnsi="Cambria" w:cs="Cambria"/>
          <w:b/>
          <w:bCs/>
          <w:color w:val="1B1B12"/>
          <w:sz w:val="26"/>
          <w:szCs w:val="26"/>
        </w:rPr>
        <w:t xml:space="preserve"> is three public videos</w:t>
      </w:r>
    </w:p>
    <w:p w14:paraId="373B27B2" w14:textId="77777777" w:rsidR="00F32119" w:rsidRDefault="00000000">
      <w:pPr>
        <w:spacing w:after="130" w:line="280" w:lineRule="auto"/>
      </w:pPr>
      <w:r>
        <w:t>Before the flagship courses enroll a single student, M4Academy publishes a free Community Code Literacy PSA series — three short videos addressing the failures we see weekly in Wilmington and New Castle County:</w:t>
      </w:r>
    </w:p>
    <w:p w14:paraId="736EAE34" w14:textId="77777777" w:rsidR="00F32119" w:rsidRDefault="00000000">
      <w:pPr>
        <w:pStyle w:val="ListParagraph"/>
        <w:numPr>
          <w:ilvl w:val="0"/>
          <w:numId w:val="2"/>
        </w:numPr>
        <w:spacing w:after="130" w:line="280" w:lineRule="auto"/>
      </w:pPr>
      <w:r>
        <w:t>PSA 1 — “Do I Need a Permit?”: which alterations and additions trigger a building permit, and why the permit protects the owner, not the city;</w:t>
      </w:r>
    </w:p>
    <w:p w14:paraId="781DF939" w14:textId="77777777" w:rsidR="00F32119" w:rsidRDefault="00000000">
      <w:pPr>
        <w:pStyle w:val="ListParagraph"/>
        <w:numPr>
          <w:ilvl w:val="0"/>
          <w:numId w:val="2"/>
        </w:numPr>
        <w:spacing w:after="130" w:line="280" w:lineRule="auto"/>
      </w:pPr>
      <w:r>
        <w:t>PSA 2 — “What an Architect Actually Does”: the role of the architect and the engineering consultants behind every safe building, and when you legally need one;</w:t>
      </w:r>
    </w:p>
    <w:p w14:paraId="30EEF51F" w14:textId="77777777" w:rsidR="00F32119" w:rsidRDefault="00000000">
      <w:pPr>
        <w:pStyle w:val="ListParagraph"/>
        <w:numPr>
          <w:ilvl w:val="0"/>
          <w:numId w:val="2"/>
        </w:numPr>
        <w:spacing w:after="130" w:line="280" w:lineRule="auto"/>
      </w:pPr>
      <w:r>
        <w:t>PSA 3 — “Life Safety Is Not Optional”: how occupancy classification drives egress, fire protection, and code requirements — strictly educational, never advisory.</w:t>
      </w:r>
    </w:p>
    <w:p w14:paraId="5A3E7203" w14:textId="77777777" w:rsidR="00F32119" w:rsidRDefault="00000000">
      <w:pPr>
        <w:spacing w:after="130" w:line="280" w:lineRule="auto"/>
      </w:pPr>
      <w:r>
        <w:rPr>
          <w:b/>
          <w:bCs/>
        </w:rPr>
        <w:t xml:space="preserve">The PSAs do four jobs at once. </w:t>
      </w:r>
      <w:r>
        <w:t xml:space="preserve">(1) They are the cheapest funder-visible public good in our stack — a small, </w:t>
      </w:r>
      <w:proofErr w:type="spellStart"/>
      <w:r>
        <w:t>finishable</w:t>
      </w:r>
      <w:proofErr w:type="spellEnd"/>
      <w:r>
        <w:t xml:space="preserve">, watchable deliverable that converts us from “idea with an MOU” to “grantee with a city-embedded product.” (2) The grant that funds them is a capacity-building grant: the equipment, motion-graphics templates, captioning pipeline, and skills persist and lower the cost of every video we ever make after — flagship course modules, jurisdictional editions, and beyond. (3) They are the top of our enrollment funnel: each video closes with a pointer to the courses. (4) They hand the City of Wilmington a free win that deepens the relationship we have already been building with the </w:t>
      </w:r>
      <w:proofErr w:type="gramStart"/>
      <w:r>
        <w:t>Mayor's</w:t>
      </w:r>
      <w:proofErr w:type="gramEnd"/>
      <w:r>
        <w:t xml:space="preserve"> office and OED.</w:t>
      </w:r>
    </w:p>
    <w:p w14:paraId="28A8CF6F" w14:textId="77777777" w:rsidR="00F32119" w:rsidRDefault="00000000">
      <w:pPr>
        <w:spacing w:after="130" w:line="280" w:lineRule="auto"/>
      </w:pPr>
      <w:r>
        <w:rPr>
          <w:b/>
          <w:bCs/>
        </w:rPr>
        <w:t xml:space="preserve">Home and ownership: </w:t>
      </w:r>
      <w:r>
        <w:t xml:space="preserve">the series is published by M4Academy under L.E.E.P. sponsorship — never primarily on the M4D LLC site, where it would read as content marketing and lose grant eligibility. M4D and Aubyn appear in the produced-by credit. The </w:t>
      </w:r>
      <w:proofErr w:type="gramStart"/>
      <w:r>
        <w:t>City</w:t>
      </w:r>
      <w:proofErr w:type="gramEnd"/>
      <w:r>
        <w:t xml:space="preserve"> </w:t>
      </w:r>
      <w:proofErr w:type="gramStart"/>
      <w:r>
        <w:t>is offered</w:t>
      </w:r>
      <w:proofErr w:type="gramEnd"/>
      <w:r>
        <w:t xml:space="preserve"> free co-branded embedding (Exhibit A), not a subscription: a city that uses our content is a reference customer. The paid product comes later — jurisdiction-customized editions licensed to NCC, Newark, Dover, and eventually statewide.</w:t>
      </w:r>
    </w:p>
    <w:p w14:paraId="6F2A8FD7" w14:textId="77777777" w:rsidR="00F32119" w:rsidRDefault="00000000">
      <w:pPr>
        <w:pStyle w:val="Heading1"/>
        <w:spacing w:before="320" w:after="140"/>
      </w:pPr>
      <w:r>
        <w:rPr>
          <w:rFonts w:ascii="Cambria" w:eastAsia="Cambria" w:hAnsi="Cambria" w:cs="Cambria"/>
          <w:b/>
          <w:bCs/>
          <w:color w:val="1B1B12"/>
          <w:sz w:val="26"/>
          <w:szCs w:val="26"/>
        </w:rPr>
        <w:t>The funding map</w:t>
      </w:r>
    </w:p>
    <w:p w14:paraId="4EDD25FD" w14:textId="77777777" w:rsidR="00F32119" w:rsidRDefault="00000000">
      <w:pPr>
        <w:spacing w:after="130" w:line="280" w:lineRule="auto"/>
      </w:pPr>
      <w:r>
        <w:rPr>
          <w:b/>
          <w:bCs/>
        </w:rPr>
        <w:t>Two tracks, run in parallel — the PSA micro-grant is never a substitute for the program ask.</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3200"/>
        <w:gridCol w:w="2160"/>
      </w:tblGrid>
      <w:tr w:rsidR="00F32119" w14:paraId="364082C9" w14:textId="77777777">
        <w:tblPrEx>
          <w:tblCellMar>
            <w:top w:w="0" w:type="dxa"/>
            <w:bottom w:w="0" w:type="dxa"/>
          </w:tblCellMar>
        </w:tblPrEx>
        <w:tc>
          <w:tcPr>
            <w:tcW w:w="2600" w:type="dxa"/>
            <w:shd w:val="clear" w:color="auto" w:fill="1B1B12"/>
            <w:tcMar>
              <w:top w:w="80" w:type="dxa"/>
              <w:left w:w="120" w:type="dxa"/>
              <w:bottom w:w="80" w:type="dxa"/>
              <w:right w:w="120" w:type="dxa"/>
            </w:tcMar>
          </w:tcPr>
          <w:p w14:paraId="1507308E" w14:textId="77777777" w:rsidR="00F32119" w:rsidRDefault="00000000">
            <w:r>
              <w:rPr>
                <w:b/>
                <w:bCs/>
                <w:color w:val="FFFFFF"/>
                <w:sz w:val="19"/>
                <w:szCs w:val="19"/>
              </w:rPr>
              <w:t>Track</w:t>
            </w:r>
          </w:p>
        </w:tc>
        <w:tc>
          <w:tcPr>
            <w:tcW w:w="2200" w:type="dxa"/>
            <w:shd w:val="clear" w:color="auto" w:fill="1B1B12"/>
            <w:tcMar>
              <w:top w:w="80" w:type="dxa"/>
              <w:left w:w="120" w:type="dxa"/>
              <w:bottom w:w="80" w:type="dxa"/>
              <w:right w:w="120" w:type="dxa"/>
            </w:tcMar>
          </w:tcPr>
          <w:p w14:paraId="4FDE82AA" w14:textId="77777777" w:rsidR="00F32119" w:rsidRDefault="00000000">
            <w:r>
              <w:rPr>
                <w:b/>
                <w:bCs/>
                <w:color w:val="FFFFFF"/>
                <w:sz w:val="19"/>
                <w:szCs w:val="19"/>
              </w:rPr>
              <w:t>Ask</w:t>
            </w:r>
          </w:p>
        </w:tc>
        <w:tc>
          <w:tcPr>
            <w:tcW w:w="3200" w:type="dxa"/>
            <w:shd w:val="clear" w:color="auto" w:fill="1B1B12"/>
            <w:tcMar>
              <w:top w:w="80" w:type="dxa"/>
              <w:left w:w="120" w:type="dxa"/>
              <w:bottom w:w="80" w:type="dxa"/>
              <w:right w:w="120" w:type="dxa"/>
            </w:tcMar>
          </w:tcPr>
          <w:p w14:paraId="26478DC0" w14:textId="77777777" w:rsidR="00F32119" w:rsidRDefault="00000000">
            <w:r>
              <w:rPr>
                <w:b/>
                <w:bCs/>
                <w:color w:val="FFFFFF"/>
                <w:sz w:val="19"/>
                <w:szCs w:val="19"/>
              </w:rPr>
              <w:t>Target funders</w:t>
            </w:r>
          </w:p>
        </w:tc>
        <w:tc>
          <w:tcPr>
            <w:tcW w:w="2160" w:type="dxa"/>
            <w:shd w:val="clear" w:color="auto" w:fill="1B1B12"/>
            <w:tcMar>
              <w:top w:w="80" w:type="dxa"/>
              <w:left w:w="120" w:type="dxa"/>
              <w:bottom w:w="80" w:type="dxa"/>
              <w:right w:w="120" w:type="dxa"/>
            </w:tcMar>
          </w:tcPr>
          <w:p w14:paraId="2215B7FF" w14:textId="77777777" w:rsidR="00F32119" w:rsidRDefault="00000000">
            <w:r>
              <w:rPr>
                <w:b/>
                <w:bCs/>
                <w:color w:val="FFFFFF"/>
                <w:sz w:val="19"/>
                <w:szCs w:val="19"/>
              </w:rPr>
              <w:t>When</w:t>
            </w:r>
          </w:p>
        </w:tc>
      </w:tr>
      <w:tr w:rsidR="00F32119" w14:paraId="76205BCD" w14:textId="77777777">
        <w:tblPrEx>
          <w:tblCellMar>
            <w:top w:w="0" w:type="dxa"/>
            <w:bottom w:w="0" w:type="dxa"/>
          </w:tblCellMar>
        </w:tblPrEx>
        <w:tc>
          <w:tcPr>
            <w:tcW w:w="2600" w:type="dxa"/>
            <w:tcMar>
              <w:top w:w="80" w:type="dxa"/>
              <w:left w:w="120" w:type="dxa"/>
              <w:bottom w:w="80" w:type="dxa"/>
              <w:right w:w="120" w:type="dxa"/>
            </w:tcMar>
          </w:tcPr>
          <w:p w14:paraId="63E627FE" w14:textId="77777777" w:rsidR="00F32119" w:rsidRDefault="00000000">
            <w:r>
              <w:rPr>
                <w:sz w:val="19"/>
                <w:szCs w:val="19"/>
              </w:rPr>
              <w:t>Track A — PSA series (Exhibit B)</w:t>
            </w:r>
          </w:p>
        </w:tc>
        <w:tc>
          <w:tcPr>
            <w:tcW w:w="2200" w:type="dxa"/>
            <w:tcMar>
              <w:top w:w="80" w:type="dxa"/>
              <w:left w:w="120" w:type="dxa"/>
              <w:bottom w:w="80" w:type="dxa"/>
              <w:right w:w="120" w:type="dxa"/>
            </w:tcMar>
          </w:tcPr>
          <w:p w14:paraId="0F992659" w14:textId="77777777" w:rsidR="00F32119" w:rsidRDefault="00000000">
            <w:r>
              <w:rPr>
                <w:sz w:val="19"/>
                <w:szCs w:val="19"/>
              </w:rPr>
              <w:t>$25–40K incl. capacity budget</w:t>
            </w:r>
          </w:p>
        </w:tc>
        <w:tc>
          <w:tcPr>
            <w:tcW w:w="3200" w:type="dxa"/>
            <w:tcMar>
              <w:top w:w="80" w:type="dxa"/>
              <w:left w:w="120" w:type="dxa"/>
              <w:bottom w:w="80" w:type="dxa"/>
              <w:right w:w="120" w:type="dxa"/>
            </w:tcMar>
          </w:tcPr>
          <w:p w14:paraId="0160ED77" w14:textId="77777777" w:rsidR="00F32119" w:rsidRDefault="00000000">
            <w:r>
              <w:rPr>
                <w:sz w:val="19"/>
                <w:szCs w:val="19"/>
              </w:rPr>
              <w:t xml:space="preserve">Bank CRA sponsorship (JPMC, Barclays, WSFS, Capital One, </w:t>
            </w:r>
            <w:proofErr w:type="gramStart"/>
            <w:r>
              <w:rPr>
                <w:sz w:val="19"/>
                <w:szCs w:val="19"/>
              </w:rPr>
              <w:t>Discover) ·</w:t>
            </w:r>
            <w:proofErr w:type="gramEnd"/>
            <w:r>
              <w:rPr>
                <w:sz w:val="19"/>
                <w:szCs w:val="19"/>
              </w:rPr>
              <w:t xml:space="preserve"> DCF community grant · Delaware Humanities</w:t>
            </w:r>
          </w:p>
        </w:tc>
        <w:tc>
          <w:tcPr>
            <w:tcW w:w="2160" w:type="dxa"/>
            <w:tcMar>
              <w:top w:w="80" w:type="dxa"/>
              <w:left w:w="120" w:type="dxa"/>
              <w:bottom w:w="80" w:type="dxa"/>
              <w:right w:w="120" w:type="dxa"/>
            </w:tcMar>
          </w:tcPr>
          <w:p w14:paraId="7E82AC7E" w14:textId="77777777" w:rsidR="00F32119" w:rsidRDefault="00000000">
            <w:r>
              <w:rPr>
                <w:sz w:val="19"/>
                <w:szCs w:val="19"/>
              </w:rPr>
              <w:t>Apply Aug 2026 · produce Fall 2026</w:t>
            </w:r>
          </w:p>
        </w:tc>
      </w:tr>
      <w:tr w:rsidR="00F32119" w14:paraId="24C097EF" w14:textId="77777777">
        <w:tblPrEx>
          <w:tblCellMar>
            <w:top w:w="0" w:type="dxa"/>
            <w:bottom w:w="0" w:type="dxa"/>
          </w:tblCellMar>
        </w:tblPrEx>
        <w:tc>
          <w:tcPr>
            <w:tcW w:w="2600" w:type="dxa"/>
            <w:shd w:val="clear" w:color="auto" w:fill="EFF1E4"/>
            <w:tcMar>
              <w:top w:w="80" w:type="dxa"/>
              <w:left w:w="120" w:type="dxa"/>
              <w:bottom w:w="80" w:type="dxa"/>
              <w:right w:w="120" w:type="dxa"/>
            </w:tcMar>
          </w:tcPr>
          <w:p w14:paraId="526EC0C8" w14:textId="77777777" w:rsidR="00F32119" w:rsidRDefault="00000000">
            <w:r>
              <w:rPr>
                <w:sz w:val="19"/>
                <w:szCs w:val="19"/>
              </w:rPr>
              <w:t>Track B — Program launch</w:t>
            </w:r>
          </w:p>
        </w:tc>
        <w:tc>
          <w:tcPr>
            <w:tcW w:w="2200" w:type="dxa"/>
            <w:shd w:val="clear" w:color="auto" w:fill="EFF1E4"/>
            <w:tcMar>
              <w:top w:w="80" w:type="dxa"/>
              <w:left w:w="120" w:type="dxa"/>
              <w:bottom w:w="80" w:type="dxa"/>
              <w:right w:w="120" w:type="dxa"/>
            </w:tcMar>
          </w:tcPr>
          <w:p w14:paraId="7DE6957D" w14:textId="77777777" w:rsidR="00F32119" w:rsidRDefault="00000000">
            <w:r>
              <w:rPr>
                <w:sz w:val="19"/>
                <w:szCs w:val="19"/>
              </w:rPr>
              <w:t>$150–250K Year 1</w:t>
            </w:r>
          </w:p>
        </w:tc>
        <w:tc>
          <w:tcPr>
            <w:tcW w:w="3200" w:type="dxa"/>
            <w:shd w:val="clear" w:color="auto" w:fill="EFF1E4"/>
            <w:tcMar>
              <w:top w:w="80" w:type="dxa"/>
              <w:left w:w="120" w:type="dxa"/>
              <w:bottom w:w="80" w:type="dxa"/>
              <w:right w:w="120" w:type="dxa"/>
            </w:tcMar>
          </w:tcPr>
          <w:p w14:paraId="1201DEA3" w14:textId="77777777" w:rsidR="00F32119" w:rsidRDefault="00000000">
            <w:r>
              <w:rPr>
                <w:sz w:val="19"/>
                <w:szCs w:val="19"/>
              </w:rPr>
              <w:t xml:space="preserve">Longwood Foundation (Sept 1 Fall </w:t>
            </w:r>
            <w:proofErr w:type="gramStart"/>
            <w:r>
              <w:rPr>
                <w:sz w:val="19"/>
                <w:szCs w:val="19"/>
              </w:rPr>
              <w:t>cycle) ·</w:t>
            </w:r>
            <w:proofErr w:type="gramEnd"/>
            <w:r>
              <w:rPr>
                <w:sz w:val="19"/>
                <w:szCs w:val="19"/>
              </w:rPr>
              <w:t xml:space="preserve"> Welfare Foundation · Laffey-McHugh · DCF</w:t>
            </w:r>
          </w:p>
        </w:tc>
        <w:tc>
          <w:tcPr>
            <w:tcW w:w="2160" w:type="dxa"/>
            <w:shd w:val="clear" w:color="auto" w:fill="EFF1E4"/>
            <w:tcMar>
              <w:top w:w="80" w:type="dxa"/>
              <w:left w:w="120" w:type="dxa"/>
              <w:bottom w:w="80" w:type="dxa"/>
              <w:right w:w="120" w:type="dxa"/>
            </w:tcMar>
          </w:tcPr>
          <w:p w14:paraId="6CC6E15D" w14:textId="77777777" w:rsidR="00F32119" w:rsidRDefault="00000000">
            <w:r>
              <w:rPr>
                <w:sz w:val="19"/>
                <w:szCs w:val="19"/>
              </w:rPr>
              <w:t>LOI Aug · apply Sept 1, 2026</w:t>
            </w:r>
          </w:p>
        </w:tc>
      </w:tr>
      <w:tr w:rsidR="00F32119" w14:paraId="48BE2541" w14:textId="77777777">
        <w:tblPrEx>
          <w:tblCellMar>
            <w:top w:w="0" w:type="dxa"/>
            <w:bottom w:w="0" w:type="dxa"/>
          </w:tblCellMar>
        </w:tblPrEx>
        <w:tc>
          <w:tcPr>
            <w:tcW w:w="2600" w:type="dxa"/>
            <w:tcMar>
              <w:top w:w="80" w:type="dxa"/>
              <w:left w:w="120" w:type="dxa"/>
              <w:bottom w:w="80" w:type="dxa"/>
              <w:right w:w="120" w:type="dxa"/>
            </w:tcMar>
          </w:tcPr>
          <w:p w14:paraId="0B917C13" w14:textId="77777777" w:rsidR="00F32119" w:rsidRDefault="00000000">
            <w:r>
              <w:rPr>
                <w:sz w:val="19"/>
                <w:szCs w:val="19"/>
              </w:rPr>
              <w:lastRenderedPageBreak/>
              <w:t>Track B — Pilot cohort</w:t>
            </w:r>
          </w:p>
        </w:tc>
        <w:tc>
          <w:tcPr>
            <w:tcW w:w="2200" w:type="dxa"/>
            <w:tcMar>
              <w:top w:w="80" w:type="dxa"/>
              <w:left w:w="120" w:type="dxa"/>
              <w:bottom w:w="80" w:type="dxa"/>
              <w:right w:w="120" w:type="dxa"/>
            </w:tcMar>
          </w:tcPr>
          <w:p w14:paraId="6751ACFB" w14:textId="77777777" w:rsidR="00F32119" w:rsidRDefault="00000000">
            <w:r>
              <w:rPr>
                <w:sz w:val="19"/>
                <w:szCs w:val="19"/>
              </w:rPr>
              <w:t>In-kind (&lt; $2K cash)</w:t>
            </w:r>
          </w:p>
        </w:tc>
        <w:tc>
          <w:tcPr>
            <w:tcW w:w="3200" w:type="dxa"/>
            <w:tcMar>
              <w:top w:w="80" w:type="dxa"/>
              <w:left w:w="120" w:type="dxa"/>
              <w:bottom w:w="80" w:type="dxa"/>
              <w:right w:w="120" w:type="dxa"/>
            </w:tcMar>
          </w:tcPr>
          <w:p w14:paraId="43660F58" w14:textId="77777777" w:rsidR="00F32119" w:rsidRDefault="00000000">
            <w:r>
              <w:rPr>
                <w:sz w:val="19"/>
                <w:szCs w:val="19"/>
              </w:rPr>
              <w:t>Our curriculum + LEEP classroom + volunteer instruction</w:t>
            </w:r>
          </w:p>
        </w:tc>
        <w:tc>
          <w:tcPr>
            <w:tcW w:w="2160" w:type="dxa"/>
            <w:tcMar>
              <w:top w:w="80" w:type="dxa"/>
              <w:left w:w="120" w:type="dxa"/>
              <w:bottom w:w="80" w:type="dxa"/>
              <w:right w:w="120" w:type="dxa"/>
            </w:tcMar>
          </w:tcPr>
          <w:p w14:paraId="3D678DF8" w14:textId="77777777" w:rsidR="00F32119" w:rsidRDefault="00000000">
            <w:r>
              <w:rPr>
                <w:sz w:val="19"/>
                <w:szCs w:val="19"/>
              </w:rPr>
              <w:t>Oct–Dec 2026</w:t>
            </w:r>
          </w:p>
        </w:tc>
      </w:tr>
      <w:tr w:rsidR="00F32119" w14:paraId="25714BD5" w14:textId="77777777">
        <w:tblPrEx>
          <w:tblCellMar>
            <w:top w:w="0" w:type="dxa"/>
            <w:bottom w:w="0" w:type="dxa"/>
          </w:tblCellMar>
        </w:tblPrEx>
        <w:tc>
          <w:tcPr>
            <w:tcW w:w="2600" w:type="dxa"/>
            <w:shd w:val="clear" w:color="auto" w:fill="EFF1E4"/>
            <w:tcMar>
              <w:top w:w="80" w:type="dxa"/>
              <w:left w:w="120" w:type="dxa"/>
              <w:bottom w:w="80" w:type="dxa"/>
              <w:right w:w="120" w:type="dxa"/>
            </w:tcMar>
          </w:tcPr>
          <w:p w14:paraId="41A8175D" w14:textId="77777777" w:rsidR="00F32119" w:rsidRDefault="00000000">
            <w:r>
              <w:rPr>
                <w:sz w:val="19"/>
                <w:szCs w:val="19"/>
              </w:rPr>
              <w:t>2027 — Sustainability</w:t>
            </w:r>
          </w:p>
        </w:tc>
        <w:tc>
          <w:tcPr>
            <w:tcW w:w="2200" w:type="dxa"/>
            <w:shd w:val="clear" w:color="auto" w:fill="EFF1E4"/>
            <w:tcMar>
              <w:top w:w="80" w:type="dxa"/>
              <w:left w:w="120" w:type="dxa"/>
              <w:bottom w:w="80" w:type="dxa"/>
              <w:right w:w="120" w:type="dxa"/>
            </w:tcMar>
          </w:tcPr>
          <w:p w14:paraId="68952213" w14:textId="77777777" w:rsidR="00F32119" w:rsidRDefault="00000000">
            <w:r>
              <w:rPr>
                <w:sz w:val="19"/>
                <w:szCs w:val="19"/>
              </w:rPr>
              <w:t>Per-trainee + contracts</w:t>
            </w:r>
          </w:p>
        </w:tc>
        <w:tc>
          <w:tcPr>
            <w:tcW w:w="3200" w:type="dxa"/>
            <w:shd w:val="clear" w:color="auto" w:fill="EFF1E4"/>
            <w:tcMar>
              <w:top w:w="80" w:type="dxa"/>
              <w:left w:w="120" w:type="dxa"/>
              <w:bottom w:w="80" w:type="dxa"/>
              <w:right w:w="120" w:type="dxa"/>
            </w:tcMar>
          </w:tcPr>
          <w:p w14:paraId="3C492432" w14:textId="77777777" w:rsidR="00F32119" w:rsidRDefault="00000000">
            <w:r>
              <w:rPr>
                <w:sz w:val="19"/>
                <w:szCs w:val="19"/>
              </w:rPr>
              <w:t>WIOA / ETPL listing · DSB Workforce Training Grant (Merge4Ward as employer-</w:t>
            </w:r>
            <w:proofErr w:type="gramStart"/>
            <w:r>
              <w:rPr>
                <w:sz w:val="19"/>
                <w:szCs w:val="19"/>
              </w:rPr>
              <w:t>applicant) ·</w:t>
            </w:r>
            <w:proofErr w:type="gramEnd"/>
            <w:r>
              <w:rPr>
                <w:sz w:val="19"/>
                <w:szCs w:val="19"/>
              </w:rPr>
              <w:t xml:space="preserve"> Grant-in-Aid</w:t>
            </w:r>
          </w:p>
        </w:tc>
        <w:tc>
          <w:tcPr>
            <w:tcW w:w="2160" w:type="dxa"/>
            <w:shd w:val="clear" w:color="auto" w:fill="EFF1E4"/>
            <w:tcMar>
              <w:top w:w="80" w:type="dxa"/>
              <w:left w:w="120" w:type="dxa"/>
              <w:bottom w:w="80" w:type="dxa"/>
              <w:right w:w="120" w:type="dxa"/>
            </w:tcMar>
          </w:tcPr>
          <w:p w14:paraId="5CFE5E37" w14:textId="77777777" w:rsidR="00F32119" w:rsidRDefault="00000000">
            <w:r>
              <w:rPr>
                <w:sz w:val="19"/>
                <w:szCs w:val="19"/>
              </w:rPr>
              <w:t>Q1–Q4 2027</w:t>
            </w:r>
          </w:p>
        </w:tc>
      </w:tr>
    </w:tbl>
    <w:p w14:paraId="0676FAC8" w14:textId="77777777" w:rsidR="00F32119" w:rsidRDefault="00000000">
      <w:pPr>
        <w:spacing w:before="140" w:after="130"/>
      </w:pPr>
      <w:r>
        <w:rPr>
          <w:i/>
          <w:iCs/>
        </w:rPr>
        <w:t>By Q1 2027 we approach the larger funders holding three proof points from one six-month window: a completed, city-embedded PSA series; a completed pilot cohort with outcomes; and an executed MOU with governance a program officer can respect.</w:t>
      </w:r>
    </w:p>
    <w:p w14:paraId="1D7F7A50" w14:textId="77777777" w:rsidR="00F32119" w:rsidRDefault="00000000">
      <w:pPr>
        <w:pStyle w:val="Heading1"/>
        <w:spacing w:before="320" w:after="140"/>
      </w:pPr>
      <w:r>
        <w:rPr>
          <w:rFonts w:ascii="Cambria" w:eastAsia="Cambria" w:hAnsi="Cambria" w:cs="Cambria"/>
          <w:b/>
          <w:bCs/>
          <w:color w:val="1B1B12"/>
          <w:sz w:val="26"/>
          <w:szCs w:val="26"/>
        </w:rPr>
        <w:t>What we need from each other</w:t>
      </w:r>
    </w:p>
    <w:p w14:paraId="3E84169F" w14:textId="77777777" w:rsidR="00F32119" w:rsidRDefault="00000000">
      <w:pPr>
        <w:pStyle w:val="ListParagraph"/>
        <w:numPr>
          <w:ilvl w:val="0"/>
          <w:numId w:val="2"/>
        </w:numPr>
        <w:spacing w:after="130" w:line="280" w:lineRule="auto"/>
      </w:pPr>
      <w:r>
        <w:t>Gwen / L.E.E.P.: 501(c)(3) determination letter and purpose-coverage confirmation (MOU §10); board touchpoint on the sponsorship; Harrison Street scheduling window for fall; co-signature on Exhibit A when finalized;</w:t>
      </w:r>
    </w:p>
    <w:p w14:paraId="6C649725" w14:textId="77777777" w:rsidR="00F32119" w:rsidRDefault="00000000">
      <w:pPr>
        <w:pStyle w:val="ListParagraph"/>
        <w:numPr>
          <w:ilvl w:val="0"/>
          <w:numId w:val="2"/>
        </w:numPr>
        <w:spacing w:after="130" w:line="280" w:lineRule="auto"/>
      </w:pPr>
      <w:r>
        <w:t>Trevor: city relationship sequencing — Exhibit A lands with L&amp;I and OED through the warmest door we have; funder relationship map for the CRA banks;</w:t>
      </w:r>
    </w:p>
    <w:p w14:paraId="6A0747EC" w14:textId="77777777" w:rsidR="00F32119" w:rsidRDefault="00000000">
      <w:pPr>
        <w:pStyle w:val="ListParagraph"/>
        <w:numPr>
          <w:ilvl w:val="0"/>
          <w:numId w:val="2"/>
        </w:numPr>
        <w:spacing w:after="130" w:line="280" w:lineRule="auto"/>
      </w:pPr>
      <w:r>
        <w:t>Travis: PSA production design — motion-graphics direction in the M4D brand system, production budget validation against Exhibit B;</w:t>
      </w:r>
    </w:p>
    <w:p w14:paraId="345F0EB6" w14:textId="77777777" w:rsidR="00F32119" w:rsidRDefault="00000000">
      <w:pPr>
        <w:pStyle w:val="ListParagraph"/>
        <w:numPr>
          <w:ilvl w:val="0"/>
          <w:numId w:val="2"/>
        </w:numPr>
        <w:spacing w:after="130" w:line="280" w:lineRule="auto"/>
      </w:pPr>
      <w:r>
        <w:t>Leo: grants calendar ownership (DCF LOI, Longwood Sept 1), and Phase 2 of his AI onboarding ramp gets a live project: PSA storyboard support;</w:t>
      </w:r>
    </w:p>
    <w:p w14:paraId="3DC43E20" w14:textId="77777777" w:rsidR="00F32119" w:rsidRDefault="00000000">
      <w:pPr>
        <w:pStyle w:val="ListParagraph"/>
        <w:numPr>
          <w:ilvl w:val="0"/>
          <w:numId w:val="2"/>
        </w:numPr>
        <w:spacing w:after="130" w:line="280" w:lineRule="auto"/>
      </w:pPr>
      <w:r>
        <w:t>David: MOU execution, curriculum finalization, funder narrative, and the L&amp;I/OED technical review conversation.</w:t>
      </w:r>
    </w:p>
    <w:p w14:paraId="2C901B95" w14:textId="77777777" w:rsidR="00F32119" w:rsidRDefault="00000000">
      <w:pPr>
        <w:pStyle w:val="Heading1"/>
        <w:spacing w:before="320" w:after="140"/>
      </w:pPr>
      <w:r>
        <w:rPr>
          <w:rFonts w:ascii="Cambria" w:eastAsia="Cambria" w:hAnsi="Cambria" w:cs="Cambria"/>
          <w:b/>
          <w:bCs/>
          <w:color w:val="1B1B12"/>
          <w:sz w:val="26"/>
          <w:szCs w:val="26"/>
        </w:rPr>
        <w:t>Verification notes (BEDROCK)</w:t>
      </w:r>
    </w:p>
    <w:p w14:paraId="2F7EE152" w14:textId="77777777" w:rsidR="00F32119" w:rsidRDefault="00000000">
      <w:pPr>
        <w:spacing w:after="130" w:line="280" w:lineRule="auto"/>
      </w:pPr>
      <w:r>
        <w:rPr>
          <w:color w:val="6E6E64"/>
          <w:sz w:val="20"/>
          <w:szCs w:val="20"/>
        </w:rPr>
        <w:t>Claims requiring confirmation before external use: L.E.E.P. 501(c)(3) status and exempt-purpose language (gating item); Longwood Fall-cycle deadline of September 1 (verified July 2026 — reconfirm at filing); DSB Workforce Training Grant eligibility terms for the Merge4Ward employer-applicant angle; City of Wilmington L&amp;I current permit-trigger thresholds for PSA 1 script accuracy (source scripts from the municipal code, not memory). Full BEDROCK pass runs before any exhibit leaves the building.</w:t>
      </w:r>
    </w:p>
    <w:p w14:paraId="3196D77D" w14:textId="77777777" w:rsidR="00F32119" w:rsidRDefault="00000000">
      <w:pPr>
        <w:spacing w:before="300"/>
      </w:pPr>
      <w:r>
        <w:rPr>
          <w:i/>
          <w:iCs/>
          <w:color w:val="5A6B2C"/>
          <w:sz w:val="20"/>
          <w:szCs w:val="20"/>
        </w:rPr>
        <w:t>— The Merge 4 Design / M4Academy Team, with L.E.E.P., Inc. (Gwen Motley, Executive Director)</w:t>
      </w:r>
    </w:p>
    <w:sectPr w:rsidR="00F32119">
      <w:pgSz w:w="12240" w:h="15840"/>
      <w:pgMar w:top="1200" w:right="1440" w:bottom="11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F32"/>
    <w:multiLevelType w:val="hybridMultilevel"/>
    <w:tmpl w:val="301C1776"/>
    <w:lvl w:ilvl="0" w:tplc="7B40BA0A">
      <w:start w:val="1"/>
      <w:numFmt w:val="bullet"/>
      <w:lvlText w:val="–"/>
      <w:lvlJc w:val="left"/>
      <w:pPr>
        <w:ind w:left="460" w:hanging="260"/>
      </w:pPr>
    </w:lvl>
    <w:lvl w:ilvl="1" w:tplc="8AAEA698">
      <w:numFmt w:val="decimal"/>
      <w:lvlText w:val=""/>
      <w:lvlJc w:val="left"/>
    </w:lvl>
    <w:lvl w:ilvl="2" w:tplc="BC80042C">
      <w:numFmt w:val="decimal"/>
      <w:lvlText w:val=""/>
      <w:lvlJc w:val="left"/>
    </w:lvl>
    <w:lvl w:ilvl="3" w:tplc="546644AA">
      <w:numFmt w:val="decimal"/>
      <w:lvlText w:val=""/>
      <w:lvlJc w:val="left"/>
    </w:lvl>
    <w:lvl w:ilvl="4" w:tplc="BC8CF89C">
      <w:numFmt w:val="decimal"/>
      <w:lvlText w:val=""/>
      <w:lvlJc w:val="left"/>
    </w:lvl>
    <w:lvl w:ilvl="5" w:tplc="1E94981A">
      <w:numFmt w:val="decimal"/>
      <w:lvlText w:val=""/>
      <w:lvlJc w:val="left"/>
    </w:lvl>
    <w:lvl w:ilvl="6" w:tplc="A0F2D3E6">
      <w:numFmt w:val="decimal"/>
      <w:lvlText w:val=""/>
      <w:lvlJc w:val="left"/>
    </w:lvl>
    <w:lvl w:ilvl="7" w:tplc="C7BCF080">
      <w:numFmt w:val="decimal"/>
      <w:lvlText w:val=""/>
      <w:lvlJc w:val="left"/>
    </w:lvl>
    <w:lvl w:ilvl="8" w:tplc="0CD6E3D8">
      <w:numFmt w:val="decimal"/>
      <w:lvlText w:val=""/>
      <w:lvlJc w:val="left"/>
    </w:lvl>
  </w:abstractNum>
  <w:abstractNum w:abstractNumId="1" w15:restartNumberingAfterBreak="0">
    <w:nsid w:val="48FF219E"/>
    <w:multiLevelType w:val="hybridMultilevel"/>
    <w:tmpl w:val="AF669214"/>
    <w:lvl w:ilvl="0" w:tplc="B3346C76">
      <w:start w:val="1"/>
      <w:numFmt w:val="bullet"/>
      <w:lvlText w:val="●"/>
      <w:lvlJc w:val="left"/>
      <w:pPr>
        <w:ind w:left="720" w:hanging="360"/>
      </w:pPr>
    </w:lvl>
    <w:lvl w:ilvl="1" w:tplc="8BFE3132">
      <w:start w:val="1"/>
      <w:numFmt w:val="bullet"/>
      <w:lvlText w:val="○"/>
      <w:lvlJc w:val="left"/>
      <w:pPr>
        <w:ind w:left="1440" w:hanging="360"/>
      </w:pPr>
    </w:lvl>
    <w:lvl w:ilvl="2" w:tplc="C6809358">
      <w:start w:val="1"/>
      <w:numFmt w:val="bullet"/>
      <w:lvlText w:val="■"/>
      <w:lvlJc w:val="left"/>
      <w:pPr>
        <w:ind w:left="2160" w:hanging="360"/>
      </w:pPr>
    </w:lvl>
    <w:lvl w:ilvl="3" w:tplc="2DCC76A6">
      <w:start w:val="1"/>
      <w:numFmt w:val="bullet"/>
      <w:lvlText w:val="●"/>
      <w:lvlJc w:val="left"/>
      <w:pPr>
        <w:ind w:left="2880" w:hanging="360"/>
      </w:pPr>
    </w:lvl>
    <w:lvl w:ilvl="4" w:tplc="2F507094">
      <w:start w:val="1"/>
      <w:numFmt w:val="bullet"/>
      <w:lvlText w:val="○"/>
      <w:lvlJc w:val="left"/>
      <w:pPr>
        <w:ind w:left="3600" w:hanging="360"/>
      </w:pPr>
    </w:lvl>
    <w:lvl w:ilvl="5" w:tplc="62CEF4A0">
      <w:start w:val="1"/>
      <w:numFmt w:val="bullet"/>
      <w:lvlText w:val="■"/>
      <w:lvlJc w:val="left"/>
      <w:pPr>
        <w:ind w:left="4320" w:hanging="360"/>
      </w:pPr>
    </w:lvl>
    <w:lvl w:ilvl="6" w:tplc="57ACE66A">
      <w:start w:val="1"/>
      <w:numFmt w:val="bullet"/>
      <w:lvlText w:val="●"/>
      <w:lvlJc w:val="left"/>
      <w:pPr>
        <w:ind w:left="5040" w:hanging="360"/>
      </w:pPr>
    </w:lvl>
    <w:lvl w:ilvl="7" w:tplc="34040AF0">
      <w:start w:val="1"/>
      <w:numFmt w:val="bullet"/>
      <w:lvlText w:val="●"/>
      <w:lvlJc w:val="left"/>
      <w:pPr>
        <w:ind w:left="5760" w:hanging="360"/>
      </w:pPr>
    </w:lvl>
    <w:lvl w:ilvl="8" w:tplc="0966EE30">
      <w:start w:val="1"/>
      <w:numFmt w:val="bullet"/>
      <w:lvlText w:val="●"/>
      <w:lvlJc w:val="left"/>
      <w:pPr>
        <w:ind w:left="6480" w:hanging="360"/>
      </w:pPr>
    </w:lvl>
  </w:abstractNum>
  <w:abstractNum w:abstractNumId="2" w15:restartNumberingAfterBreak="0">
    <w:nsid w:val="536631D5"/>
    <w:multiLevelType w:val="hybridMultilevel"/>
    <w:tmpl w:val="D3B6A67E"/>
    <w:lvl w:ilvl="0" w:tplc="D6B0CB00">
      <w:start w:val="1"/>
      <w:numFmt w:val="bullet"/>
      <w:lvlText w:val="–"/>
      <w:lvlJc w:val="left"/>
      <w:pPr>
        <w:ind w:left="460" w:hanging="260"/>
      </w:pPr>
    </w:lvl>
    <w:lvl w:ilvl="1" w:tplc="46C0C3AE">
      <w:numFmt w:val="decimal"/>
      <w:lvlText w:val=""/>
      <w:lvlJc w:val="left"/>
    </w:lvl>
    <w:lvl w:ilvl="2" w:tplc="7D86E566">
      <w:numFmt w:val="decimal"/>
      <w:lvlText w:val=""/>
      <w:lvlJc w:val="left"/>
    </w:lvl>
    <w:lvl w:ilvl="3" w:tplc="1B4A57F0">
      <w:numFmt w:val="decimal"/>
      <w:lvlText w:val=""/>
      <w:lvlJc w:val="left"/>
    </w:lvl>
    <w:lvl w:ilvl="4" w:tplc="23A248AA">
      <w:numFmt w:val="decimal"/>
      <w:lvlText w:val=""/>
      <w:lvlJc w:val="left"/>
    </w:lvl>
    <w:lvl w:ilvl="5" w:tplc="F934C2A2">
      <w:numFmt w:val="decimal"/>
      <w:lvlText w:val=""/>
      <w:lvlJc w:val="left"/>
    </w:lvl>
    <w:lvl w:ilvl="6" w:tplc="7A92C076">
      <w:numFmt w:val="decimal"/>
      <w:lvlText w:val=""/>
      <w:lvlJc w:val="left"/>
    </w:lvl>
    <w:lvl w:ilvl="7" w:tplc="E2C08120">
      <w:numFmt w:val="decimal"/>
      <w:lvlText w:val=""/>
      <w:lvlJc w:val="left"/>
    </w:lvl>
    <w:lvl w:ilvl="8" w:tplc="1A76A3DC">
      <w:numFmt w:val="decimal"/>
      <w:lvlText w:val=""/>
      <w:lvlJc w:val="left"/>
    </w:lvl>
  </w:abstractNum>
  <w:abstractNum w:abstractNumId="3" w15:restartNumberingAfterBreak="0">
    <w:nsid w:val="740A0193"/>
    <w:multiLevelType w:val="hybridMultilevel"/>
    <w:tmpl w:val="2DC0AA6C"/>
    <w:lvl w:ilvl="0" w:tplc="A39C0072">
      <w:start w:val="1"/>
      <w:numFmt w:val="bullet"/>
      <w:lvlText w:val="–"/>
      <w:lvlJc w:val="left"/>
      <w:pPr>
        <w:ind w:left="460" w:hanging="260"/>
      </w:pPr>
    </w:lvl>
    <w:lvl w:ilvl="1" w:tplc="55586A72">
      <w:numFmt w:val="decimal"/>
      <w:lvlText w:val=""/>
      <w:lvlJc w:val="left"/>
    </w:lvl>
    <w:lvl w:ilvl="2" w:tplc="F50424D6">
      <w:numFmt w:val="decimal"/>
      <w:lvlText w:val=""/>
      <w:lvlJc w:val="left"/>
    </w:lvl>
    <w:lvl w:ilvl="3" w:tplc="9BDCF0E0">
      <w:numFmt w:val="decimal"/>
      <w:lvlText w:val=""/>
      <w:lvlJc w:val="left"/>
    </w:lvl>
    <w:lvl w:ilvl="4" w:tplc="79F8A346">
      <w:numFmt w:val="decimal"/>
      <w:lvlText w:val=""/>
      <w:lvlJc w:val="left"/>
    </w:lvl>
    <w:lvl w:ilvl="5" w:tplc="2870A366">
      <w:numFmt w:val="decimal"/>
      <w:lvlText w:val=""/>
      <w:lvlJc w:val="left"/>
    </w:lvl>
    <w:lvl w:ilvl="6" w:tplc="2DA0C8EE">
      <w:numFmt w:val="decimal"/>
      <w:lvlText w:val=""/>
      <w:lvlJc w:val="left"/>
    </w:lvl>
    <w:lvl w:ilvl="7" w:tplc="F2C2B59C">
      <w:numFmt w:val="decimal"/>
      <w:lvlText w:val=""/>
      <w:lvlJc w:val="left"/>
    </w:lvl>
    <w:lvl w:ilvl="8" w:tplc="AB126EE2">
      <w:numFmt w:val="decimal"/>
      <w:lvlText w:val=""/>
      <w:lvlJc w:val="left"/>
    </w:lvl>
  </w:abstractNum>
  <w:num w:numId="1" w16cid:durableId="806432682">
    <w:abstractNumId w:val="1"/>
    <w:lvlOverride w:ilvl="0">
      <w:startOverride w:val="1"/>
    </w:lvlOverride>
  </w:num>
  <w:num w:numId="2" w16cid:durableId="164011239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119"/>
    <w:rsid w:val="000D0869"/>
    <w:rsid w:val="000F13B8"/>
    <w:rsid w:val="00F32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ED20"/>
  <w15:docId w15:val="{FA35246C-1A14-4A85-9D95-73F8FA52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1114</Words>
  <Characters>6797</Characters>
  <Application>Microsoft Office Word</Application>
  <DocSecurity>0</DocSecurity>
  <Lines>125</Lines>
  <Paragraphs>82</Paragraphs>
  <ScaleCrop>false</ScaleCrop>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2026-07-02T22:34:00Z</dcterms:created>
  <dcterms:modified xsi:type="dcterms:W3CDTF">2026-07-02T22:34:00Z</dcterms:modified>
</cp:coreProperties>
</file>