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C2A" w:sz="1"/>
              <w:left w:val="single" w:color="C89C2A" w:sz="1"/>
              <w:bottom w:val="single" w:color="C89C2A" w:sz="1"/>
              <w:right w:val="single" w:color="C89C2A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100" w:before="80"/>
              <w:jc w:val="left"/>
            </w:pPr>
            <w:r>
              <w:rPr>
                <w:rFonts w:ascii="Arial" w:cs="Arial" w:eastAsia="Arial" w:hAnsi="Arial"/>
                <w:caps/>
                <w:color w:val="B0BFCC"/>
                <w:sz w:val="17"/>
                <w:szCs w:val="17"/>
              </w:rPr>
              <w:t xml:space="preserve">PREPARED FOR: TREVOR KNIGHT, GMD  ·  FOR DISCUSSION WITH MAYOR STEFAN ROOTS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M4CleanTech LLC</w:t>
            </w:r>
          </w:p>
          <w:p>
            <w:pPr>
              <w:spacing w:after="120" w:before="0"/>
            </w:pPr>
            <w:r>
              <w:rPr>
                <w:rFonts w:ascii="Arial" w:cs="Arial" w:eastAsia="Arial" w:hAnsi="Arial"/>
                <w:color w:val="C89C2A"/>
                <w:sz w:val="30"/>
                <w:szCs w:val="30"/>
              </w:rPr>
              <w:t xml:space="preserve">Land Control &amp; Phased Finance Strategy</w:t>
            </w:r>
          </w:p>
          <w:p>
            <w:pPr>
              <w:spacing w:after="100" w:before="0" w:line="300"/>
              <w:jc w:val="left"/>
            </w:pPr>
            <w:r>
              <w:rPr>
                <w:rFonts w:ascii="Arial" w:cs="Arial" w:eastAsia="Arial" w:hAnsi="Arial"/>
                <w:color w:val="D4DCE8"/>
                <w:sz w:val="21"/>
                <w:szCs w:val="21"/>
              </w:rPr>
              <w:t xml:space="preserve">A two-phase clean industrial development plan for the City of Chester waterfront — built on a City ground lease, a Klean/KBR BOO operating agreement, and a path to M4CleanTech-owned Ecolomondo facility ownership by Year 3. No personal equity required.</w:t>
            </w:r>
          </w:p>
          <w:p>
            <w:pPr>
              <w:pBdr>
                <w:top w:val="single" w:color="4A6080" w:sz="4" w:space="4"/>
              </w:pBdr>
              <w:spacing w:after="80" w:before="100"/>
            </w:pPr>
            <w:r>
              <w:rPr>
                <w:rFonts w:ascii="Arial" w:cs="Arial" w:eastAsia="Arial" w:hAnsi="Arial"/>
                <w:color w:val="9AAABB"/>
                <w:sz w:val="17"/>
                <w:szCs w:val="17"/>
              </w:rPr>
              <w:t xml:space="preserve">Merge 4 Design LLC  ·  M4Di™  ·  Merge4Ward LLC  ·  MaxWellness Model  ·  M4CleanTech LLC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36"/>
                <w:szCs w:val="36"/>
              </w:rPr>
              <w:t xml:space="preserve">$0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color w:val="6B6B72"/>
                <w:sz w:val="17"/>
                <w:szCs w:val="17"/>
              </w:rPr>
              <w:t xml:space="preserve">Personal equity required — ground lease structure removes acquisition capital entirely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36"/>
                <w:szCs w:val="36"/>
              </w:rPr>
              <w:t xml:space="preserve">40–99yr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color w:val="6B6B72"/>
                <w:sz w:val="17"/>
                <w:szCs w:val="17"/>
              </w:rPr>
              <w:t xml:space="preserve">City/DCIDA ground lease term to M4CleanTech — foundation of the entire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C89C2A"/>
                <w:sz w:val="36"/>
                <w:szCs w:val="36"/>
              </w:rPr>
              <w:t xml:space="preserve">20–25yr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color w:val="6B6B72"/>
                <w:sz w:val="17"/>
                <w:szCs w:val="17"/>
              </w:rPr>
              <w:t xml:space="preserve">Klean/KBR BOO sublease — co-terminus with operating period; M4CleanTech pockets the spread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36"/>
                <w:szCs w:val="36"/>
              </w:rPr>
              <w:t xml:space="preserve">Yr 2–4</w:t>
            </w:r>
          </w:p>
          <w:p>
            <w:pPr>
              <w:spacing w:after="80" w:before="0" w:line="240"/>
              <w:jc w:val="left"/>
            </w:pPr>
            <w:r>
              <w:rPr>
                <w:rFonts w:ascii="Arial" w:cs="Arial" w:eastAsia="Arial" w:hAnsi="Arial"/>
                <w:color w:val="6B6B72"/>
                <w:sz w:val="17"/>
                <w:szCs w:val="17"/>
              </w:rPr>
              <w:t xml:space="preserve">Target window for Ecolomondo Phase 2 facility financing using Phase 1 track record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1 — The Land Control Structure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City/DCIDA → M4CleanTech → Klean/KBR: How the Stack Works</w:t>
      </w:r>
    </w:p>
    <w:p>
      <w:pPr>
        <w:spacing w:after="120" w:before="60" w:line="288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M4CleanTech does not need to purchase land to control it. The structure below gives M4CleanTech a long-term ground position — sufficient to sublease to an industrial operator, attract grant capital, and build an equity stake — without acquisition capital or personal guarantees.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TIER 1 — LAND OWNER</w:t>
            </w:r>
          </w:p>
        </w:tc>
        <w:tc>
          <w:tcPr>
            <w:tcW w:type="dxa" w:w="3360"/>
            <w:tcBorders>
              <w:top w:val="single" w:color="C89C2A" w:sz="1"/>
              <w:left w:val="single" w:color="C89C2A" w:sz="1"/>
              <w:bottom w:val="single" w:color="C89C2A" w:sz="1"/>
              <w:right w:val="single" w:color="C89C2A" w:sz="1"/>
            </w:tcBorders>
            <w:shd w:fill="C89C2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0A2342"/>
                <w:sz w:val="17"/>
                <w:szCs w:val="17"/>
              </w:rPr>
              <w:t xml:space="preserve">TIER 2 — GROUND LESSEE</w:t>
            </w:r>
          </w:p>
        </w:tc>
        <w:tc>
          <w:tcPr>
            <w:tcW w:type="dxa" w:w="3360"/>
            <w:tcBorders>
              <w:top w:val="single" w:color="3A5A1C" w:sz="1"/>
              <w:left w:val="single" w:color="3A5A1C" w:sz="1"/>
              <w:bottom w:val="single" w:color="3A5A1C" w:sz="1"/>
              <w:right w:val="single" w:color="3A5A1C" w:sz="1"/>
            </w:tcBorders>
            <w:shd w:fill="3A5A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TIER 3 — SUBLESSEE / OPERATOR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City of Chester / DCIDA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Retains fee simple ownership of the parcel throughout. City never relinquishes land. Politically clean for Mayor Roots — land stays public.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19"/>
                <w:szCs w:val="19"/>
              </w:rPr>
              <w:t xml:space="preserve">Ground lease term: 40–99 years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Nominal or below-market rent to M4CleanTech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3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M4CleanTech LLC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Holds the ground lease. Develops the site. Procures grants. Manages community benefit. Subleases to the BOO operator and pockets the spread between what it pays the City and what Klean/KBR pays M4CleanTech.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Revenue: ground lease spread + developer fee + retained equity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22"/>
                <w:szCs w:val="22"/>
              </w:rPr>
              <w:t xml:space="preserve">Klean Industries / KBR (TyreNova BOO)</w:t>
            </w:r>
          </w:p>
          <w:p>
            <w:pPr>
              <w:spacing w:after="6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Builds, owns, and operates the TyreNova pyrolysis facility on the subleased parcel. Funds 100% of facility construction. Pays ground rent to M4CleanTech. Bears all operating risk.</w:t>
            </w:r>
          </w:p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BOO sublease: 20–25 years co-terminus with operating agreement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6B72"/>
                <w:sz w:val="18"/>
                <w:szCs w:val="18"/>
              </w:rPr>
              <w:t xml:space="preserve">Chester keeps control. EJ narrative strengthened. No City appropriation.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6B72"/>
                <w:sz w:val="18"/>
                <w:szCs w:val="18"/>
              </w:rPr>
              <w:t xml:space="preserve">No acquisition capital. No personal guarantee. Ground lease spread is M4CleanTech's first revenue stream.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6B6B72"/>
                <w:sz w:val="18"/>
                <w:szCs w:val="18"/>
              </w:rPr>
              <w:t xml:space="preserve">Klean/KBR capitalizes the facility entirely. M4CleanTech risk: site development costs only.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C2A" w:sz="1"/>
              <w:left w:val="single" w:color="C89C2A" w:sz="1"/>
              <w:bottom w:val="single" w:color="C89C2A" w:sz="1"/>
              <w:right w:val="single" w:color="C89C2A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0A2342"/>
                <w:sz w:val="17"/>
                <w:szCs w:val="17"/>
              </w:rPr>
              <w:t xml:space="preserve">Why This Works for Mayor Roots</w:t>
            </w:r>
          </w:p>
          <w:p>
            <w:pPr>
              <w:spacing w:after="80" w:before="40" w:line="276"/>
              <w:jc w:val="left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The City does not sell land, write checks, or guarantee debt. It grants a long-term ground lease to a community-benefit-locked development entity. That single action unlocks $10M+ in outside capital — federal grants, BOO operator equity, and CDFI debt — flowing into Chester. The Mayor's ask is land control, not cash.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2 — M4CleanTech Revenue: What the Spread Looks Like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Ground Lease Spread + Developer Fee + Equity Retention</w:t>
      </w:r>
    </w:p>
    <w:p>
      <w:pPr>
        <w:spacing w:after="120" w:before="60" w:line="288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M4CleanTech generates revenue from three sources in this structure. None require facility operations — all flow from the ground lease position and developer role.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2000"/>
        <w:gridCol w:w="2300"/>
      </w:tblGrid>
      <w:tr>
        <w:trPr>
          <w:tblHeader/>
        </w:trPr>
        <w:tc>
          <w:tcPr>
            <w:tcW w:type="dxa" w:w="22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Revenue Stream</w:t>
            </w:r>
          </w:p>
        </w:tc>
        <w:tc>
          <w:tcPr>
            <w:tcW w:type="dxa" w:w="3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ROM Amount</w:t>
            </w:r>
          </w:p>
        </w:tc>
        <w:tc>
          <w:tcPr>
            <w:tcW w:type="dxa" w:w="23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Timing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Ground Lease Spread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M4CleanTech pays City nominal rent ($1–$5K/yr). Klean/KBR pays M4CleanTech market ground rent for an industrial site in Chester ($50K–$120K/yr). M4CleanTech pockets the spread.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$45K–$119K/yr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From lease execution — Year 1 of operations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Developer Fee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M4CleanTech bills Klean/KBR for site development services (permitting support, grant procurement, community relations) under a Predevelopment Services Agreement. Recoverable at BOO financial close.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$360K–$600K (one-time)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At BOO financial close — covers predevelopment costs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Retained Equity Stake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Negotiated equity participation in the BOO facility at deal formation. Typically 5–15% for the site developer/ground lessor who procured the site, permits, and grant stack.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5–15% of facility value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Realized at refinancing or facility sale (Year 8–15)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Phase 2 Ecolomondo NOI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Once M4CleanTech owns and operates the Ecolomondo facility, full NOI flows to M4CleanTech (after debt service). This is the long-term wealth-building vehicle.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$1.5M–$2.9M/yr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4E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Year 3–5 onwards (Phase 2 operational)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6B72"/>
          <w:sz w:val="17"/>
          <w:szCs w:val="17"/>
        </w:rPr>
        <w:t xml:space="preserve">All ROM figures ±30–40% confidence. Not funded commitments. Ground lease spread depends on negotiated terms with City/DCIDA and Klean/KBR. Developer fee subject to PSA negotiation.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3 — The Two-Phase Buildout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Phase 1 Builds the Track Record. Phase 2 Builds the Wealth.</w:t>
      </w:r>
    </w:p>
    <w:p>
      <w:pPr>
        <w:spacing w:after="120" w:before="60" w:line="288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The strategic logic: Ecolomondo sells turnkey equipment — they are not a BOO operator. Klean/KBR is explicitly structured for BOO deployment. Matching the right structure to the right partner at each phase eliminates the capital barrier at Phase 1 and creates the underwriting package that finances Phase 2 without personal equity.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caps/>
                <w:color w:val="0A2342"/>
                <w:sz w:val="16"/>
                <w:szCs w:val="16"/>
              </w:rPr>
              <w:t xml:space="preserve">Now — Year 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1"/>
                <w:szCs w:val="21"/>
              </w:rPr>
              <w:t xml:space="preserve">Site Control &amp; BOO Agreement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C89C2A"/>
                <w:sz w:val="16"/>
                <w:szCs w:val="16"/>
              </w:rPr>
              <w:t xml:space="preserve">Ground lease + Klean/KBR executed</w:t>
            </w:r>
          </w:p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Exclusive Development Agreement with City/DCIDA on waterfront parcel. Ground lease negotiated. Klean/KBR BOO sublease executed. EPA Brownfields + EDA EAA grants filed. PA DEP pre-application meeting completed. Developer fee agreement signed.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caps/>
                <w:color w:val="0A2342"/>
                <w:sz w:val="16"/>
                <w:szCs w:val="16"/>
              </w:rPr>
              <w:t xml:space="preserve">Year 1 — Year 3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1"/>
                <w:szCs w:val="21"/>
              </w:rPr>
              <w:t xml:space="preserve">Phase 1: Klean/KBR BOO Operating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C89C2A"/>
                <w:sz w:val="16"/>
                <w:szCs w:val="16"/>
              </w:rPr>
              <w:t xml:space="preserve">Track record accumulating</w:t>
            </w:r>
          </w:p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TyreNova facility operational. M4CleanTech collecting ground lease spread. Operating data — tonnage, tipping fees, product yields — building the Phase 2 underwriting package. Feedstock contracts converting from LOIs to executed agreements with performance history.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caps/>
                <w:color w:val="0A2342"/>
                <w:sz w:val="16"/>
                <w:szCs w:val="16"/>
              </w:rPr>
              <w:t xml:space="preserve">Year 2 — Year 4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1"/>
                <w:szCs w:val="21"/>
              </w:rPr>
              <w:t xml:space="preserve">Phase 2: Ecolomondo Finance &amp; Build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C89C2A"/>
                <w:sz w:val="16"/>
                <w:szCs w:val="16"/>
              </w:rPr>
              <w:t xml:space="preserve">M4CleanTech-owned facility</w:t>
            </w:r>
          </w:p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12–24 months of Phase 1 operating data unlocks CDFI senior debt. PA DEP permit precedent on site. Ecolomondo vendor financing negotiated on equipment. PA RACP second-round grant filed. Construction commences on adjacent parcel (secured via right of first refusal in Phase 1 ground lease).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60"/>
              <w:jc w:val="left"/>
            </w:pPr>
            <w:r>
              <w:rPr>
                <w:rFonts w:ascii="Arial" w:cs="Arial" w:eastAsia="Arial" w:hAnsi="Arial"/>
                <w:caps/>
                <w:color w:val="0A2342"/>
                <w:sz w:val="16"/>
                <w:szCs w:val="16"/>
              </w:rPr>
              <w:t xml:space="preserve">Year 4+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1"/>
                <w:szCs w:val="21"/>
              </w:rPr>
              <w:t xml:space="preserve">Dual Facility Operations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C89C2A"/>
                <w:sz w:val="16"/>
                <w:szCs w:val="16"/>
              </w:rPr>
              <w:t xml:space="preserve">Two revenue streams + equity</w:t>
            </w:r>
          </w:p>
          <w:p>
            <w:pPr>
              <w:spacing w:after="80" w:before="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M4CleanTech operating Ecolomondo facility (owned). Ground lease spread from Klean/KBR continuing. $1.5M–$2.9M NOI from Ecolomondo facility after debt service. Chester becomes a genuine clean industrial district — two facilities, two waste streams, one site.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4 — Phase 2 Finance Stack: Ecolomondo Owned Facility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What the Lender Package Looks Like at Year 2–3</w:t>
      </w:r>
    </w:p>
    <w:p>
      <w:pPr>
        <w:spacing w:after="120" w:before="60" w:line="288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With Phase 1 operating data in hand, the Ecolomondo facility financing conversation is fundamentally different from a cold start. M4CleanTech arrives at the lender table as an operating company with revenue history, a permitted site, executed feedstock contracts, and a proven grant procurement track record. That is a bankable package.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300"/>
        <w:gridCol w:w="1400"/>
        <w:gridCol w:w="1360"/>
        <w:gridCol w:w="1880"/>
      </w:tblGrid>
      <w:tr>
        <w:trPr>
          <w:tblHeader/>
        </w:trPr>
        <w:tc>
          <w:tcPr>
            <w:tcW w:type="dxa" w:w="21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Tranche</w:t>
            </w:r>
          </w:p>
        </w:tc>
        <w:tc>
          <w:tcPr>
            <w:tcW w:type="dxa" w:w="33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Source &amp; Rationale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ROM Amount</w:t>
            </w:r>
          </w:p>
        </w:tc>
        <w:tc>
          <w:tcPr>
            <w:tcW w:type="dxa" w:w="13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188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Structure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Senior Debt — CDFI / Mission Bank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Reinvestment Fund, Amalgamated Bank, Beneficial State Bank. Phase 1 operating data + PA DEP permit + executed feedstock contracts = bankable cash flow projection.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$5M–$7M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3A5A1C"/>
                <w:sz w:val="19"/>
                <w:szCs w:val="19"/>
              </w:rPr>
              <w:t xml:space="preserve">5–7%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15–20 yr amortization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Subordinate / Gap — Grants (Rd. 2)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EDA EAA second application, PA RACP second round. M4CleanTech's prior grant track record from Phase 1 significantly strengthens competitiveness.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$2M–$3M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3A5A1C"/>
                <w:sz w:val="19"/>
                <w:szCs w:val="19"/>
              </w:rPr>
              <w:t xml:space="preserve">0% (grant)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Non-dilutive, non-recourse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Ecolomondo Vendor Financing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Equipment manufacturers often carry a note on their own hardware to close US flagship deployments. Ecolomondo's incentive to get a US reference site is strong — vendor financing is a negotiating point at LOI stage.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$2M–$3M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3A5A1C"/>
                <w:sz w:val="19"/>
                <w:szCs w:val="19"/>
              </w:rPr>
              <w:t xml:space="preserve">Negotiated (est. 4–6%)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Secured on equipment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M4CleanTech Equity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Ground lease spread (3 yrs) + developer fee from Phase 1 provides equity contribution without personal capital injection.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$500K–$1M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3A5A1C"/>
                <w:sz w:val="19"/>
                <w:szCs w:val="19"/>
              </w:rPr>
              <w:t xml:space="preserve">0% (own capital)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From Phase 1 cash flow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TOTAL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Full facility financed. M4CleanTech retains 100% ownership of Ecolomondo facility.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$9.5M–$14M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19"/>
                <w:szCs w:val="19"/>
              </w:rPr>
              <w:t xml:space="preserve">Blended ~4–5%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2C2C30"/>
                <w:sz w:val="19"/>
                <w:szCs w:val="19"/>
              </w:rPr>
              <w:t xml:space="preserve">No personal equity required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20" w:before="0"/>
        <w:jc w:val="left"/>
      </w:pPr>
      <w:r>
        <w:rPr>
          <w:rFonts w:ascii="Arial" w:cs="Arial" w:eastAsia="Arial" w:hAnsi="Arial"/>
          <w:i/>
          <w:iCs/>
          <w:color w:val="6B6B72"/>
          <w:sz w:val="17"/>
          <w:szCs w:val="17"/>
        </w:rPr>
        <w:t xml:space="preserve">ROM ±30–40%. Actual terms subject to lender underwriting and market conditions at time of application. CDFI senior debt requires 1.20× minimum DSCR on projected NOI — Phase 1 operating data is the key underwriting input.</w:t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5 — What to Discuss with Mayor Roots: The Parcel Conversation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The Ask is Land Control — Not a Budget Line Item</w:t>
      </w:r>
    </w:p>
    <w:p>
      <w:pPr>
        <w:spacing w:after="120" w:before="60" w:line="288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>M4CleanTech does not need the City to spend money. The ask is a ground lease on a parcel the City already controls — turning a vacant or underutilized site into a revenue-generating, job-creating clean industrial anchor without public expenditure. The Mayor's role is to identify the parcel and authorize DCIDA to negotiate the ground lease terms.</w:t>
      </w:r>
    </w:p>
    <w:p>
      <w:pPr>
        <w:spacing w:after="40" w:before="120"/>
        <w:jc w:val="left"/>
      </w:pPr>
      <w:r>
        <w:rPr>
          <w:rFonts w:ascii="Arial" w:cs="Arial" w:eastAsia="Arial" w:hAnsi="Arial"/>
          <w:caps/>
          <w:color w:val="0A2342"/>
          <w:sz w:val="16"/>
          <w:szCs w:val="16"/>
        </w:rPr>
        <w:t xml:space="preserve">Potential Parcel Types to Raise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1560"/>
        <w:gridCol w:w="2300"/>
      </w:tblGrid>
      <w:tr>
        <w:trPr>
          <w:tblHeader/>
        </w:trPr>
        <w:tc>
          <w:tcPr>
            <w:tcW w:type="dxa" w:w="22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Parcel Type</w:t>
            </w:r>
          </w:p>
        </w:tc>
        <w:tc>
          <w:tcPr>
            <w:tcW w:type="dxa" w:w="4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23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Next Step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Reworld Waterfront Site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15–30+ acres as Reworld contracts unwind. Prime candidate — industrial-zoned, waterfront, existing utility infrastructure, brownfield grant-eligible. Timeline: 2027–2028 as contracts expire.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Primary Target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Request Exclusive Development Agreement now, before site is marketed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DCIDA-Controlled Industrial Parcels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DCIDA holds or controls several parcels in Chester's industrial corridor. May have sites suitable for Phase 1 BOO facility that can be activated faster than the Reworld site.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Phase 1 Fallback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Request DCIDA parcel inventory meeting — identify 3–5 acre minimum site for TyreNova Phase 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City-Owned Vacant Industrial Land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Chester has accumulated tax-delinquent and foreclosed industrial properties. City may hold suitable parcels that could be conveyed by ground lease without Orphan's Court proceedings.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Opportunistic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 w:line="260"/>
              <w:jc w:val="left"/>
            </w:pPr>
            <w:r>
              <w:rPr>
                <w:rFonts w:ascii="Arial" w:cs="Arial" w:eastAsia="Arial" w:hAnsi="Arial"/>
                <w:color w:val="2C2C30"/>
                <w:sz w:val="19"/>
                <w:szCs w:val="19"/>
              </w:rPr>
              <w:t xml:space="preserve">Request list of City-held industrial parcels from City Solicitor / Finance Director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9C2A" w:sz="1"/>
              <w:left w:val="single" w:color="C89C2A" w:sz="1"/>
              <w:bottom w:val="single" w:color="C89C2A" w:sz="1"/>
              <w:right w:val="single" w:color="C89C2A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caps/>
                <w:color w:val="C89C2A"/>
                <w:sz w:val="16"/>
                <w:szCs w:val="16"/>
              </w:rPr>
              <w:t xml:space="preserve">Key Negotiating Point: Lock in the Right of First Refusal Now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color w:val="DCE8F0"/>
                <w:sz w:val="21"/>
                <w:szCs w:val="21"/>
              </w:rPr>
              <w:t xml:space="preserve">When M4CleanTech signs the Phase 1 ground lease with the City/DCIDA, the </w:t>
            </w:r>
            <w:r>
              <w:rPr>
                <w:rFonts w:ascii="Arial" w:cs="Arial" w:eastAsia="Arial" w:hAnsi="Arial"/>
                <w:b/>
                <w:bCs/>
                <w:color w:val="C89C2A"/>
                <w:sz w:val="21"/>
                <w:szCs w:val="21"/>
              </w:rPr>
              <w:t xml:space="preserve">ground lease must include a Right of First Refusal on adjacent parcels</w:t>
            </w:r>
            <w:r>
              <w:rPr>
                <w:rFonts w:ascii="Arial" w:cs="Arial" w:eastAsia="Arial" w:hAnsi="Arial"/>
                <w:color w:val="DCE8F0"/>
                <w:sz w:val="21"/>
                <w:szCs w:val="21"/>
              </w:rPr>
              <w:t xml:space="preserve"> — specifically any waterfront acreage released by the Reworld closure. This costs nothing to negotiate at Phase 1 but could be worth tens of millions at Year 3 when the Ecolomondo Phase 2 site is needed. Trevor should raise this explicitly with Mayor Roots and DCIDA as a ground lease term, not an afterthought.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10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Section 6 — What We Are Asking Mayor Roots to Authorize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pStyle w:val="Heading1"/>
        <w:pBdr>
          <w:left w:val="single" w:color="C89C2A" w:sz="18" w:space="6"/>
        </w:pBdr>
        <w:spacing w:after="120" w:before="240"/>
        <w:ind w:left="160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Three Authorizations. No Budget Required. Each Opens the Next Stage.</w:t>
      </w:r>
    </w:p>
    <w:p>
      <w:pPr>
        <w:spacing w:after="6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89C2A" w:sz="1"/>
              <w:left w:val="single" w:color="C89C2A" w:sz="1"/>
              <w:bottom w:val="single" w:color="C89C2A" w:sz="1"/>
              <w:right w:val="single" w:color="C89C2A" w:sz="1"/>
            </w:tcBorders>
            <w:shd w:fill="0A234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C89C2A"/>
                <w:sz w:val="22"/>
                <w:szCs w:val="22"/>
              </w:rPr>
              <w:t xml:space="preserve">Authorization 1 — Exclusive Development Agreement on Reworld Waterfront Parcel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E8EEF5"/>
                <w:sz w:val="21"/>
                <w:szCs w:val="21"/>
              </w:rPr>
              <w:t xml:space="preserve">Direct DCIDA to negotiate an Exclusive Development Agreement (EDA) with M4CleanTech on the Reworld waterfront parcel — giving M4CleanTech the exclusive right to develop a clean industrial facility on that site for 18–24 months pending Reworld's departure. Cost to City: zero. Effect: positions M4CleanTech ahead of any competing developer before the site is publicly marketed. Trevor should request this as a mayoral directive to DCIDA, not a public RFP.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2C2C3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Authorization 2 — DCIDA Parcel Inventory Meeting for Phase 1 Site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Request an introduction to DCIDA's real estate team to review available industrial parcels suitable for Phase 1 TyreNova BOO facility (minimum 3–5 acres, industrial zoning, utility access). The goal is to identify a Phase 1 site that can be activated in 2026–2027 while the Reworld waterfront site is still being cleared. Mayor Roots' facilitation of this introduction compresses 6–12 months of cold outreach.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color w:val="2C2C30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080"/>
            <w:tcBorders>
              <w:top w:val="single" w:color="3A5A1C" w:sz="1"/>
              <w:left w:val="single" w:color="3A5A1C" w:sz="1"/>
              <w:bottom w:val="single" w:color="3A5A1C" w:sz="1"/>
              <w:right w:val="single" w:color="3A5A1C" w:sz="1"/>
            </w:tcBorders>
            <w:shd w:fill="3A5A1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3A5A1C"/>
                <w:sz w:val="22"/>
                <w:szCs w:val="22"/>
              </w:rPr>
              <w:t xml:space="preserve">Authorization 3 — Letter of Support for Klean/KBR and Ecolomondo Outreach</w:t>
            </w:r>
          </w:p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color w:val="E8EEF5"/>
                <w:sz w:val="21"/>
                <w:szCs w:val="21"/>
              </w:rPr>
              <w:t xml:space="preserve">A letter of support from Mayor Roots for M4CleanTech's outreach to Klean Industries/KBR and Ecolomondo Corporation positioning Chester as the site for a U.S. flagship clean industrial deployment. The Mayor's endorsement transforms a cold technology partnership inquiry into a City-sponsored conversation — dramatically improving response rate and deal terms. Trevor is authorized to present this letter in introductory meetings on the Mayor's behalf.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6F2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0A2342"/>
                <w:sz w:val="20"/>
                <w:szCs w:val="20"/>
              </w:rPr>
              <w:t xml:space="preserve">Prepared By &amp; Contact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Trevor Knight</w:t>
            </w:r>
            <w:r>
              <w:rPr>
                <w:rFonts w:ascii="Arial" w:cs="Arial" w:eastAsia="Arial" w:hAnsi="Arial"/>
                <w:color w:val="2C2C30"/>
                <w:sz w:val="22"/>
                <w:szCs w:val="22"/>
              </w:rPr>
              <w:t xml:space="preserve">,  GMD  ·  Merge 4 Design LLC  ·  Presenting on behalf of the M4D / M4CleanTech partnership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500 Delaware Ave., Suite 1 #1551, Wilmington, DE 19899  ·  merge4design.com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A2342"/>
                <w:sz w:val="21"/>
                <w:szCs w:val="21"/>
              </w:rPr>
              <w:t xml:space="preserve">Technical &amp; Predevelopment Lead:  </w:t>
            </w:r>
            <w:r>
              <w:rPr>
                <w:rFonts w:ascii="Arial" w:cs="Arial" w:eastAsia="Arial" w:hAnsi="Arial"/>
                <w:color w:val="2C2C30"/>
                <w:sz w:val="21"/>
                <w:szCs w:val="21"/>
              </w:rPr>
              <w:t xml:space="preserve">David C. Ainsworth, AIA  ·  Aubyn Architecture LLC  ·  M4Di Predevelopment  ·  215 N. Market Street, Suite 317, Wilmington, DE 19801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color w:val="6B6B72"/>
                <w:sz w:val="19"/>
                <w:szCs w:val="19"/>
              </w:rPr>
              <w:t xml:space="preserve">Partnership team: Trevor Knight (Strategy / BD)  ·  Leo Lynch (Operations / Grants)  ·  Travis Davis (Delivery / Visualization)  ·  David Ainsworth (Predevelopment / Architecture)</w:t>
            </w:r>
          </w:p>
        </w:tc>
      </w:tr>
    </w:tbl>
    <w:p>
      <w:pPr>
        <w:spacing w:after="80" w:before="0"/>
        <w:jc w:val="left"/>
      </w:pPr>
      <w:r>
        <w:rPr>
          <w:rFonts w:ascii="Arial" w:cs="Arial" w:eastAsia="Arial" w:hAnsi="Arial"/>
          <w:color w:val="2C2C30"/>
          <w:sz w:val="22"/>
          <w:szCs w:val="22"/>
        </w:rPr>
        <w:t xml:space="preserve"/>
      </w:r>
    </w:p>
    <w:p>
      <w:pPr>
        <w:spacing w:after="80" w:before="0" w:line="240"/>
        <w:jc w:val="left"/>
      </w:pPr>
      <w:r>
        <w:rPr>
          <w:rFonts w:ascii="Arial" w:cs="Arial" w:eastAsia="Arial" w:hAnsi="Arial"/>
          <w:i/>
          <w:iCs/>
          <w:color w:val="6B6B72"/>
          <w:sz w:val="17"/>
          <w:szCs w:val="17"/>
        </w:rPr>
        <w:t xml:space="preserve">All ROM investment and revenue figures are preliminary estimates with ±30–40% confidence range. Not guaranteed, not funded commitments, and not GMP. Produced for concept-level conversation and to frame the scope of M4Di predevelopment engagement. Ground lease terms, developer fee structure, equity participation, and BOO sublease economics require negotiation with the City/DCIDA, Klean/KBR, and legal counsel before execution. Ecolomondo Phase 2 facility financing is contingent on Phase 1 operating track record and lender underwriting at time of application. Pennsylvania regulatory compliance (PA DEP, PA DCED, PHFA) requires PA-licensed counsel. Brownfield site remediation requires Phase I/II ESA before any development commitment.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80"/>
      <w:jc w:val="center"/>
    </w:pPr>
    <w:r>
      <w:rPr>
        <w:rFonts w:ascii="Arial" w:cs="Arial" w:eastAsia="Arial" w:hAnsi="Arial"/>
        <w:color w:val="6B6B72"/>
        <w:sz w:val="16"/>
        <w:szCs w:val="16"/>
      </w:rPr>
      <w:t xml:space="preserve">M4CleanTech LLC  ·  Merge 4 Design LLC  ·  Chester Clean Economy Platform  ·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pBdr>
              <w:bottom w:val="single" w:color="0A2342" w:sz="6" w:space="4"/>
            </w:pBdr>
            <w:spacing w:after="0" w:before="0"/>
          </w:pPr>
          <w:r>
            <w:rPr>
              <w:rFonts w:ascii="Arial" w:cs="Arial" w:eastAsia="Arial" w:hAnsi="Arial"/>
              <w:b/>
              <w:bCs/>
              <w:color w:val="0A2342"/>
              <w:sz w:val="17"/>
              <w:szCs w:val="17"/>
            </w:rPr>
            <w:t xml:space="preserve">MERGE 4 DESIGN LLC  ·  M4CleanTech LLC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100"/>
            <w:left w:type="dxa" w:w="140"/>
            <w:bottom w:type="dxa" w:w="100"/>
            <w:right w:type="dxa" w:w="140"/>
          </w:tcMar>
          <w:vAlign w:val="top"/>
        </w:tcPr>
        <w:p>
          <w:pPr>
            <w:pBdr>
              <w:bottom w:val="single" w:color="0A2342" w:sz="6" w:space="4"/>
            </w:pBdr>
            <w:spacing w:after="0" w:before="0"/>
            <w:jc w:val="right"/>
          </w:pPr>
          <w:r>
            <w:rPr>
              <w:rFonts w:ascii="Arial" w:cs="Arial" w:eastAsia="Arial" w:hAnsi="Arial"/>
              <w:color w:val="6B6B72"/>
              <w:sz w:val="17"/>
              <w:szCs w:val="17"/>
            </w:rPr>
            <w:t xml:space="preserve">Finance &amp; Land Control Brief  ·  June 2026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  <w:rPr>
        <w:rFonts w:ascii="Arial" w:cs="Arial" w:eastAsia="Arial" w:hAnsi="Arial"/>
        <w:color w:val="C89C2A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A2342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0A234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2026-06-24T22:17:40.267Z</dcterms:created>
  <dcterms:modified xsi:type="dcterms:W3CDTF">2026-06-24T22:17:40.267Z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