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rFonts w:ascii="Arial" w:cs="Arial" w:eastAsia="Arial" w:hAnsi="Arial"/>
          <w:color w:val="2C2C3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9C2A" w:sz="1"/>
              <w:left w:val="single" w:color="C89C2A" w:sz="1"/>
              <w:bottom w:val="single" w:color="C89C2A" w:sz="1"/>
              <w:right w:val="single" w:color="C89C2A" w:sz="1"/>
            </w:tcBorders>
            <w:shd w:fill="0A2342" w:val="clear"/>
            <w:tcMar>
              <w:top w:type="dxa" w:w="100"/>
              <w:left w:type="dxa" w:w="140"/>
              <w:bottom w:type="dxa" w:w="100"/>
              <w:right w:type="dxa" w:w="140"/>
            </w:tcMar>
            <w:vAlign w:val="top"/>
          </w:tcPr>
          <w:p>
            <w:pPr>
              <w:spacing w:after="100" w:before="80"/>
              <w:jc w:val="left"/>
            </w:pPr>
            <w:r>
              <w:rPr>
                <w:rFonts w:ascii="Arial" w:cs="Arial" w:eastAsia="Arial" w:hAnsi="Arial"/>
                <w:caps/>
                <w:color w:val="B0BFCC"/>
                <w:sz w:val="17"/>
                <w:szCs w:val="17"/>
              </w:rPr>
              <w:t xml:space="preserve">PREPARED FOR: TREVOR KNIGHT, GMD  ·  WILMINGTON CAMPUS STRATEGY</w:t>
            </w:r>
          </w:p>
          <w:p>
            <w:pPr>
              <w:spacing w:after="60" w:before="0"/>
            </w:pPr>
            <w:r>
              <w:rPr>
                <w:rFonts w:ascii="Arial" w:cs="Arial" w:eastAsia="Arial" w:hAnsi="Arial"/>
                <w:b/>
                <w:bCs/>
                <w:color w:val="FFFFFF"/>
                <w:sz w:val="48"/>
                <w:szCs w:val="48"/>
              </w:rPr>
              <w:t xml:space="preserve">Merge4Ward + M4CleanTech</w:t>
            </w:r>
          </w:p>
          <w:p>
            <w:pPr>
              <w:spacing w:after="120" w:before="0"/>
            </w:pPr>
            <w:r>
              <w:rPr>
                <w:rFonts w:ascii="Arial" w:cs="Arial" w:eastAsia="Arial" w:hAnsi="Arial"/>
                <w:color w:val="C89C2A"/>
                <w:sz w:val="28"/>
                <w:szCs w:val="28"/>
              </w:rPr>
              <w:t xml:space="preserve">Wilmington Clean Industrial Campus</w:t>
            </w:r>
          </w:p>
          <w:p>
            <w:pPr>
              <w:spacing w:after="100" w:before="0" w:line="300"/>
              <w:jc w:val="left"/>
            </w:pPr>
            <w:r>
              <w:rPr>
                <w:rFonts w:ascii="Arial" w:cs="Arial" w:eastAsia="Arial" w:hAnsi="Arial"/>
                <w:color w:val="D4DCE8"/>
                <w:sz w:val="21"/>
                <w:szCs w:val="21"/>
              </w:rPr>
              <w:t xml:space="preserve">A co-located manufacturing and clean-tech strategy for the Hay Road Peninsula, Wilmington DE — using a single City ground lease to simultaneously establish the Forward Building System's Mid-Atlantic manufacturing node, a M4CleanTech DE pyrolysis facility, and a procurement leverage platform that reduces Merge4Ward's per-panel material cost by an estimated 12–22% vs. a standard purchase model.</w:t>
            </w:r>
          </w:p>
          <w:p>
            <w:pPr>
              <w:pBdr>
                <w:top w:val="single" w:color="4A6080" w:sz="4" w:space="4"/>
              </w:pBdr>
              <w:spacing w:after="80" w:before="100"/>
            </w:pPr>
            <w:r>
              <w:rPr>
                <w:rFonts w:ascii="Arial" w:cs="Arial" w:eastAsia="Arial" w:hAnsi="Arial"/>
                <w:color w:val="9AAABB"/>
                <w:sz w:val="17"/>
                <w:szCs w:val="17"/>
              </w:rPr>
              <w:t xml:space="preserve">Merge 4 Design LLC  ·  M4Di™  ·  Merge4Ward LLC  ·  M4CleanTech LLC  ·  Aubyn Architecture LLC</w:t>
            </w:r>
          </w:p>
        </w:tc>
      </w:tr>
    </w:tbl>
    <w:p>
      <w:pPr>
        <w:spacing w:after="120" w:before="0"/>
        <w:jc w:val="left"/>
      </w:pPr>
      <w:r>
        <w:rPr>
          <w:rFonts w:ascii="Arial" w:cs="Arial" w:eastAsia="Arial" w:hAnsi="Arial"/>
          <w:color w:val="2C2C3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40" w:before="80"/>
              <w:jc w:val="left"/>
            </w:pPr>
            <w:r>
              <w:rPr>
                <w:rFonts w:ascii="Arial" w:cs="Arial" w:eastAsia="Arial" w:hAnsi="Arial"/>
                <w:b/>
                <w:bCs/>
                <w:color w:val="0A2342"/>
                <w:sz w:val="34"/>
                <w:szCs w:val="34"/>
              </w:rPr>
              <w:t xml:space="preserve">12+ ac</w:t>
            </w:r>
          </w:p>
          <w:p>
            <w:pPr>
              <w:spacing w:after="80" w:before="0" w:line="240"/>
              <w:jc w:val="left"/>
            </w:pPr>
            <w:r>
              <w:rPr>
                <w:rFonts w:ascii="Arial" w:cs="Arial" w:eastAsia="Arial" w:hAnsi="Arial"/>
                <w:color w:val="6B6B72"/>
                <w:sz w:val="17"/>
                <w:szCs w:val="17"/>
              </w:rPr>
              <w:t xml:space="preserve">Available peninsula parcels — Hay Road / Christina River, Wilmington DE</w:t>
            </w:r>
          </w:p>
        </w:tc>
        <w:tc>
          <w:tcPr>
            <w:tcW w:type="dxa" w:w="252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40" w:before="80"/>
              <w:jc w:val="left"/>
            </w:pPr>
            <w:r>
              <w:rPr>
                <w:rFonts w:ascii="Arial" w:cs="Arial" w:eastAsia="Arial" w:hAnsi="Arial"/>
                <w:b/>
                <w:bCs/>
                <w:color w:val="3A5A1C"/>
                <w:sz w:val="34"/>
                <w:szCs w:val="34"/>
              </w:rPr>
              <w:t xml:space="preserve">$0</w:t>
            </w:r>
          </w:p>
          <w:p>
            <w:pPr>
              <w:spacing w:after="80" w:before="0" w:line="240"/>
              <w:jc w:val="left"/>
            </w:pPr>
            <w:r>
              <w:rPr>
                <w:rFonts w:ascii="Arial" w:cs="Arial" w:eastAsia="Arial" w:hAnsi="Arial"/>
                <w:color w:val="6B6B72"/>
                <w:sz w:val="17"/>
                <w:szCs w:val="17"/>
              </w:rPr>
              <w:t xml:space="preserve">Acquisition capital required — City ground lease eliminates purchase requirement</w:t>
            </w:r>
          </w:p>
        </w:tc>
        <w:tc>
          <w:tcPr>
            <w:tcW w:type="dxa" w:w="252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40" w:before="80"/>
              <w:jc w:val="left"/>
            </w:pPr>
            <w:r>
              <w:rPr>
                <w:rFonts w:ascii="Arial" w:cs="Arial" w:eastAsia="Arial" w:hAnsi="Arial"/>
                <w:b/>
                <w:bCs/>
                <w:color w:val="1A5C6B"/>
                <w:sz w:val="34"/>
                <w:szCs w:val="34"/>
              </w:rPr>
              <w:t xml:space="preserve">12–22%</w:t>
            </w:r>
          </w:p>
          <w:p>
            <w:pPr>
              <w:spacing w:after="80" w:before="0" w:line="240"/>
              <w:jc w:val="left"/>
            </w:pPr>
            <w:r>
              <w:rPr>
                <w:rFonts w:ascii="Arial" w:cs="Arial" w:eastAsia="Arial" w:hAnsi="Arial"/>
                <w:color w:val="6B6B72"/>
                <w:sz w:val="17"/>
                <w:szCs w:val="17"/>
              </w:rPr>
              <w:t xml:space="preserve">Estimated ROM reduction in per-panel material cost unlocked by confirmed site control</w:t>
            </w:r>
          </w:p>
        </w:tc>
        <w:tc>
          <w:tcPr>
            <w:tcW w:type="dxa" w:w="252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40" w:before="80"/>
              <w:jc w:val="left"/>
            </w:pPr>
            <w:r>
              <w:rPr>
                <w:rFonts w:ascii="Arial" w:cs="Arial" w:eastAsia="Arial" w:hAnsi="Arial"/>
                <w:b/>
                <w:bCs/>
                <w:color w:val="C89C2A"/>
                <w:sz w:val="34"/>
                <w:szCs w:val="34"/>
              </w:rPr>
              <w:t xml:space="preserve">2 nodes</w:t>
            </w:r>
          </w:p>
          <w:p>
            <w:pPr>
              <w:spacing w:after="80" w:before="0" w:line="240"/>
              <w:jc w:val="left"/>
            </w:pPr>
            <w:r>
              <w:rPr>
                <w:rFonts w:ascii="Arial" w:cs="Arial" w:eastAsia="Arial" w:hAnsi="Arial"/>
                <w:color w:val="6B6B72"/>
                <w:sz w:val="17"/>
                <w:szCs w:val="17"/>
              </w:rPr>
              <w:t xml:space="preserve">Simultaneous DE + PA deployment: Wilmington (Merge4Ward + M4CleanTech) + Chester (M4CleanTech BOO)</w:t>
            </w:r>
          </w:p>
        </w:tc>
      </w:tr>
    </w:tbl>
    <w:p>
      <w:pPr>
        <w:spacing w:after="120" w:before="0"/>
        <w:jc w:val="left"/>
      </w:pPr>
      <w:r>
        <w:rPr>
          <w:rFonts w:ascii="Arial" w:cs="Arial" w:eastAsia="Arial" w:hAnsi="Arial"/>
          <w:color w:val="2C2C30"/>
          <w:sz w:val="22"/>
          <w:szCs w:val="22"/>
        </w:rPr>
        <w:t xml:space="preserve"/>
      </w:r>
    </w:p>
    <w:p>
      <w:pPr>
        <w:spacing w:after="100" w:before="0"/>
        <w:jc w:val="left"/>
      </w:pPr>
      <w:r>
        <w:rPr>
          <w:rFonts w:ascii="Arial" w:cs="Arial" w:eastAsia="Arial" w:hAnsi="Arial"/>
          <w:color w:val="2C2C3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8"/>
                <w:szCs w:val="18"/>
              </w:rPr>
              <w:t xml:space="preserve">Section 1 — The Site: Hay Road Peninsula, Wilmington DE</w:t>
            </w:r>
          </w:p>
        </w:tc>
      </w:tr>
    </w:tbl>
    <w:p>
      <w:pPr>
        <w:spacing w:after="80" w:before="0"/>
        <w:jc w:val="left"/>
      </w:pPr>
      <w:r>
        <w:rPr>
          <w:rFonts w:ascii="Arial" w:cs="Arial" w:eastAsia="Arial" w:hAnsi="Arial"/>
          <w:color w:val="2C2C30"/>
          <w:sz w:val="22"/>
          <w:szCs w:val="22"/>
        </w:rPr>
        <w:t xml:space="preserve"/>
      </w:r>
    </w:p>
    <w:p>
      <w:pPr>
        <w:pStyle w:val="Heading1"/>
        <w:pBdr>
          <w:left w:val="single" w:color="C89C2A" w:sz="18" w:space="6"/>
        </w:pBdr>
        <w:spacing w:after="120" w:before="240"/>
        <w:ind w:left="160"/>
      </w:pPr>
      <w:r>
        <w:rPr>
          <w:rFonts w:ascii="Arial" w:cs="Arial" w:eastAsia="Arial" w:hAnsi="Arial"/>
          <w:b/>
          <w:bCs/>
          <w:color w:val="0A2342"/>
          <w:sz w:val="28"/>
          <w:szCs w:val="28"/>
        </w:rPr>
        <w:t xml:space="preserve">Why This Peninsula. Why Now.</w:t>
      </w:r>
    </w:p>
    <w:p>
      <w:pPr>
        <w:spacing w:after="120" w:before="60" w:line="288"/>
        <w:jc w:val="left"/>
      </w:pPr>
      <w:r>
        <w:rPr>
          <w:rFonts w:ascii="Arial" w:cs="Arial" w:eastAsia="Arial" w:hAnsi="Arial"/>
          <w:color w:val="2C2C30"/>
          <w:sz w:val="22"/>
          <w:szCs w:val="22"/>
        </w:rPr>
        <w:t xml:space="preserve">The Hay Road Peninsula is a horseshoe-shaped industrial promontory where the Christina River wraps around three sides before meeting the Delaware River. It sits within the City of Wilmington's jurisdiction, inside the Port of Wilmington logistics corridor, and is currently underutilized — a mix of brownfield land, light industrial operations, and vacant parcels carrying 26-series New Castle County parcel IDs. More than 12 acres of available or underproductive parcels are visible across the peninsula.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6"/>
                <w:szCs w:val="16"/>
              </w:rPr>
              <w:t xml:space="preserve">Merge4Ward Manufacturing Node</w:t>
            </w:r>
          </w:p>
        </w:tc>
        <w:tc>
          <w:tcPr>
            <w:tcW w:type="dxa" w:w="3360"/>
            <w:tcBorders>
              <w:top w:val="single" w:color="C89C2A" w:sz="1"/>
              <w:left w:val="single" w:color="C89C2A" w:sz="1"/>
              <w:bottom w:val="single" w:color="C89C2A" w:sz="1"/>
              <w:right w:val="single" w:color="C89C2A" w:sz="1"/>
            </w:tcBorders>
            <w:shd w:fill="C89C2A"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6"/>
                <w:szCs w:val="16"/>
              </w:rPr>
              <w:t xml:space="preserve">M4CleanTech DE Facility</w:t>
            </w:r>
          </w:p>
        </w:tc>
        <w:tc>
          <w:tcPr>
            <w:tcW w:type="dxa" w:w="3360"/>
            <w:tcBorders>
              <w:top w:val="single" w:color="3A5A1C" w:sz="1"/>
              <w:left w:val="single" w:color="3A5A1C" w:sz="1"/>
              <w:bottom w:val="single" w:color="3A5A1C" w:sz="1"/>
              <w:right w:val="single" w:color="3A5A1C" w:sz="1"/>
            </w:tcBorders>
            <w:shd w:fill="3A5A1C"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6"/>
                <w:szCs w:val="16"/>
              </w:rPr>
              <w:t xml:space="preserve">Shared Infrastructure</w:t>
            </w:r>
          </w:p>
        </w:tc>
      </w:tr>
      <w:tr>
        <w:tc>
          <w:tcPr>
            <w:tcW w:type="dxa" w:w="3360"/>
            <w:tcBorders>
              <w:top w:val="single" w:color="CCCCCC" w:sz="1"/>
              <w:left w:val="single" w:color="CCCCCC" w:sz="1"/>
              <w:bottom w:val="single" w:color="CCCCCC" w:sz="1"/>
              <w:right w:val="single" w:color="CCCCCC" w:sz="1"/>
            </w:tcBorders>
            <w:shd w:fill="E8EEF6" w:val="clear"/>
            <w:tcMar>
              <w:top w:type="dxa" w:w="100"/>
              <w:left w:type="dxa" w:w="140"/>
              <w:bottom w:type="dxa" w:w="100"/>
              <w:right w:type="dxa" w:w="140"/>
            </w:tcMar>
            <w:vAlign w:val="top"/>
          </w:tcPr>
          <w:p>
            <w:pPr>
              <w:spacing w:after="40" w:before="80"/>
              <w:jc w:val="left"/>
            </w:pPr>
            <w:r>
              <w:rPr>
                <w:rFonts w:ascii="Arial" w:cs="Arial" w:eastAsia="Arial" w:hAnsi="Arial"/>
                <w:b/>
                <w:bCs/>
                <w:color w:val="0A2342"/>
                <w:sz w:val="21"/>
                <w:szCs w:val="21"/>
              </w:rPr>
              <w:t xml:space="preserve">Forward Building System — CLT/SIP Panel Production</w:t>
            </w:r>
          </w:p>
          <w:p>
            <w:pPr>
              <w:spacing w:after="60" w:before="0" w:line="260"/>
              <w:jc w:val="left"/>
            </w:pPr>
            <w:r>
              <w:rPr>
                <w:rFonts w:ascii="Arial" w:cs="Arial" w:eastAsia="Arial" w:hAnsi="Arial"/>
                <w:color w:val="2C2C30"/>
                <w:sz w:val="19"/>
                <w:szCs w:val="19"/>
              </w:rPr>
              <w:t xml:space="preserve">Western cluster parcels (26-044-00-014 / -018): 4–6 acres. Existing industrial infrastructure, heavy truck access, potential rail spur. 30,000–50,000 SF manufacturing building + panel staging laydown yard. Ships CLT/SIP panels to DE, MD, PA, and NJ projects at lower trucking cost than any competing inland site.</w:t>
            </w:r>
          </w:p>
          <w:p>
            <w:pPr>
              <w:spacing w:after="80" w:before="40"/>
              <w:jc w:val="left"/>
            </w:pPr>
            <w:r>
              <w:rPr>
                <w:rFonts w:ascii="Arial" w:cs="Arial" w:eastAsia="Arial" w:hAnsi="Arial"/>
                <w:b/>
                <w:bCs/>
                <w:color w:val="0A2342"/>
                <w:sz w:val="18"/>
                <w:szCs w:val="18"/>
              </w:rPr>
              <w:t xml:space="preserve">Target: 26-044 western cluster</w:t>
            </w:r>
          </w:p>
        </w:tc>
        <w:tc>
          <w:tcPr>
            <w:tcW w:type="dxa" w:w="3360"/>
            <w:tcBorders>
              <w:top w:val="single" w:color="CCCCCC" w:sz="1"/>
              <w:left w:val="single" w:color="CCCCCC" w:sz="1"/>
              <w:bottom w:val="single" w:color="CCCCCC" w:sz="1"/>
              <w:right w:val="single" w:color="CCCCCC" w:sz="1"/>
            </w:tcBorders>
            <w:shd w:fill="FDF3D4" w:val="clear"/>
            <w:tcMar>
              <w:top w:type="dxa" w:w="100"/>
              <w:left w:type="dxa" w:w="140"/>
              <w:bottom w:type="dxa" w:w="100"/>
              <w:right w:type="dxa" w:w="140"/>
            </w:tcMar>
            <w:vAlign w:val="top"/>
          </w:tcPr>
          <w:p>
            <w:pPr>
              <w:spacing w:after="40" w:before="80"/>
              <w:jc w:val="left"/>
            </w:pPr>
            <w:r>
              <w:rPr>
                <w:rFonts w:ascii="Arial" w:cs="Arial" w:eastAsia="Arial" w:hAnsi="Arial"/>
                <w:b/>
                <w:bCs/>
                <w:color w:val="2C2C30"/>
                <w:sz w:val="21"/>
                <w:szCs w:val="21"/>
              </w:rPr>
              <w:t xml:space="preserve">Klean/KBR TyreNova BOO — Tire Pyrolysis</w:t>
            </w:r>
          </w:p>
          <w:p>
            <w:pPr>
              <w:spacing w:after="60" w:before="0" w:line="260"/>
              <w:jc w:val="left"/>
            </w:pPr>
            <w:r>
              <w:rPr>
                <w:rFonts w:ascii="Arial" w:cs="Arial" w:eastAsia="Arial" w:hAnsi="Arial"/>
                <w:color w:val="2C2C30"/>
                <w:sz w:val="19"/>
                <w:szCs w:val="19"/>
              </w:rPr>
              <w:t xml:space="preserve">Southern tip parcel (26-052-00-004): 3–5 acres. Three-sided river frontage enables barge offtake for pyrolytic oil, recovered carbon black, and steel — cutting product distribution cost vs. inland sites. Delaware node in the Mid-Atlantic M4CleanTech network, running parallel to Chester PA.</w:t>
            </w:r>
          </w:p>
          <w:p>
            <w:pPr>
              <w:spacing w:after="80" w:before="40"/>
              <w:jc w:val="left"/>
            </w:pPr>
            <w:r>
              <w:rPr>
                <w:rFonts w:ascii="Arial" w:cs="Arial" w:eastAsia="Arial" w:hAnsi="Arial"/>
                <w:b/>
                <w:bCs/>
                <w:color w:val="C89C2A"/>
                <w:sz w:val="18"/>
                <w:szCs w:val="18"/>
              </w:rPr>
              <w:t xml:space="preserve">Target: 26-052 southern tip</w:t>
            </w:r>
          </w:p>
        </w:tc>
        <w:tc>
          <w:tcPr>
            <w:tcW w:type="dxa" w:w="3360"/>
            <w:tcBorders>
              <w:top w:val="single" w:color="CCCCCC" w:sz="1"/>
              <w:left w:val="single" w:color="CCCCCC" w:sz="1"/>
              <w:bottom w:val="single" w:color="CCCCCC" w:sz="1"/>
              <w:right w:val="single" w:color="CCCCCC" w:sz="1"/>
            </w:tcBorders>
            <w:shd w:fill="EDF4E1" w:val="clear"/>
            <w:tcMar>
              <w:top w:type="dxa" w:w="100"/>
              <w:left w:type="dxa" w:w="140"/>
              <w:bottom w:type="dxa" w:w="100"/>
              <w:right w:type="dxa" w:w="140"/>
            </w:tcMar>
            <w:vAlign w:val="top"/>
          </w:tcPr>
          <w:p>
            <w:pPr>
              <w:spacing w:after="40" w:before="80"/>
              <w:jc w:val="left"/>
            </w:pPr>
            <w:r>
              <w:rPr>
                <w:rFonts w:ascii="Arial" w:cs="Arial" w:eastAsia="Arial" w:hAnsi="Arial"/>
                <w:b/>
                <w:bCs/>
                <w:color w:val="3A5A1C"/>
                <w:sz w:val="21"/>
                <w:szCs w:val="21"/>
              </w:rPr>
              <w:t xml:space="preserve">Rail Spur + Utilities + Laydown</w:t>
            </w:r>
          </w:p>
          <w:p>
            <w:pPr>
              <w:spacing w:after="60" w:before="0" w:line="260"/>
              <w:jc w:val="left"/>
            </w:pPr>
            <w:r>
              <w:rPr>
                <w:rFonts w:ascii="Arial" w:cs="Arial" w:eastAsia="Arial" w:hAnsi="Arial"/>
                <w:color w:val="2C2C30"/>
                <w:sz w:val="19"/>
                <w:szCs w:val="19"/>
              </w:rPr>
              <w:t xml:space="preserve">Central rail yard parcel (26-044-00-021): 2–3 acres. If active CSX/NS spur confirmed, inbound CLT lumber and outbound panel distribution by rail. Shared utility connections, security perimeter, and truck staging serve both Merge4Ward and M4CleanTech — splitting infrastructure cost between two tenants.</w:t>
            </w:r>
          </w:p>
          <w:p>
            <w:pPr>
              <w:spacing w:after="80" w:before="40"/>
              <w:jc w:val="left"/>
            </w:pPr>
            <w:r>
              <w:rPr>
                <w:rFonts w:ascii="Arial" w:cs="Arial" w:eastAsia="Arial" w:hAnsi="Arial"/>
                <w:b/>
                <w:bCs/>
                <w:color w:val="3A5A1C"/>
                <w:sz w:val="18"/>
                <w:szCs w:val="18"/>
              </w:rPr>
              <w:t xml:space="preserve">Target: 26-044-00-021 rail yard</w:t>
            </w:r>
          </w:p>
        </w:tc>
      </w:tr>
    </w:tbl>
    <w:p>
      <w:pPr>
        <w:spacing w:after="100" w:before="0"/>
        <w:jc w:val="left"/>
      </w:pPr>
      <w:r>
        <w:rPr>
          <w:rFonts w:ascii="Arial" w:cs="Arial" w:eastAsia="Arial" w:hAnsi="Arial"/>
          <w:color w:val="2C2C3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9C2A" w:sz="1"/>
              <w:left w:val="single" w:color="C89C2A" w:sz="1"/>
              <w:bottom w:val="single" w:color="C89C2A" w:sz="1"/>
              <w:right w:val="single" w:color="C89C2A" w:sz="1"/>
            </w:tcBorders>
            <w:shd w:fill="E8EEF6" w:val="clear"/>
            <w:tcMar>
              <w:top w:type="dxa" w:w="100"/>
              <w:left w:type="dxa" w:w="140"/>
              <w:bottom w:type="dxa" w:w="100"/>
              <w:right w:type="dxa" w:w="140"/>
            </w:tcMar>
            <w:vAlign w:val="top"/>
          </w:tcPr>
          <w:p>
            <w:pPr>
              <w:spacing w:after="60" w:before="60"/>
              <w:jc w:val="left"/>
            </w:pPr>
            <w:r>
              <w:rPr>
                <w:rFonts w:ascii="Arial" w:cs="Arial" w:eastAsia="Arial" w:hAnsi="Arial"/>
                <w:b/>
                <w:bCs/>
                <w:caps/>
                <w:color w:val="0A2342"/>
                <w:sz w:val="17"/>
                <w:szCs w:val="17"/>
              </w:rPr>
              <w:t xml:space="preserve">Why the City of Wilmington Says Yes</w:t>
            </w:r>
          </w:p>
          <w:p>
            <w:pPr>
              <w:spacing w:after="80" w:before="40" w:line="276"/>
              <w:jc w:val="left"/>
            </w:pPr>
            <w:r>
              <w:rPr>
                <w:rFonts w:ascii="Arial" w:cs="Arial" w:eastAsia="Arial" w:hAnsi="Arial"/>
                <w:color w:val="2C2C30"/>
                <w:sz w:val="21"/>
                <w:szCs w:val="21"/>
              </w:rPr>
              <w:t xml:space="preserve">The City gets: 40–80 Merge4Ward manufacturing jobs + 25–40 M4CleanTech operations jobs + brownfield remediation of a peninsula it currently cannot activate + Opportunity Zone investment trigger + new tax ratables. M4D's existing relationship with Sean Park (OED) means this is a deepening conversation, not a cold ask. One master development agreement covers the entire peninsula — the City partners on the whole vision or it doesn't.</w:t>
            </w:r>
          </w:p>
        </w:tc>
      </w:tr>
    </w:tbl>
    <w:p>
      <w:pPr>
        <w:spacing w:after="120" w:before="0"/>
        <w:jc w:val="left"/>
      </w:pPr>
      <w:r>
        <w:rPr>
          <w:rFonts w:ascii="Arial" w:cs="Arial" w:eastAsia="Arial" w:hAnsi="Arial"/>
          <w:color w:val="2C2C30"/>
          <w:sz w:val="22"/>
          <w:szCs w:val="22"/>
        </w:rPr>
        <w:t xml:space="preserve"/>
      </w:r>
    </w:p>
    <w:p>
      <w:pPr>
        <w:spacing w:after="100" w:before="0"/>
        <w:jc w:val="left"/>
      </w:pPr>
      <w:r>
        <w:rPr>
          <w:rFonts w:ascii="Arial" w:cs="Arial" w:eastAsia="Arial" w:hAnsi="Arial"/>
          <w:color w:val="2C2C3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8"/>
                <w:szCs w:val="18"/>
              </w:rPr>
              <w:t xml:space="preserve">Section 2 — The Procurement Leverage Thesis</w:t>
            </w:r>
          </w:p>
        </w:tc>
      </w:tr>
    </w:tbl>
    <w:p>
      <w:pPr>
        <w:spacing w:after="80" w:before="0"/>
        <w:jc w:val="left"/>
      </w:pPr>
      <w:r>
        <w:rPr>
          <w:rFonts w:ascii="Arial" w:cs="Arial" w:eastAsia="Arial" w:hAnsi="Arial"/>
          <w:color w:val="2C2C30"/>
          <w:sz w:val="22"/>
          <w:szCs w:val="22"/>
        </w:rPr>
        <w:t xml:space="preserve"/>
      </w:r>
    </w:p>
    <w:p>
      <w:pPr>
        <w:pStyle w:val="Heading1"/>
        <w:pBdr>
          <w:left w:val="single" w:color="C89C2A" w:sz="18" w:space="6"/>
        </w:pBdr>
        <w:spacing w:after="120" w:before="240"/>
        <w:ind w:left="160"/>
      </w:pPr>
      <w:r>
        <w:rPr>
          <w:rFonts w:ascii="Arial" w:cs="Arial" w:eastAsia="Arial" w:hAnsi="Arial"/>
          <w:b/>
          <w:bCs/>
          <w:color w:val="0A2342"/>
          <w:sz w:val="28"/>
          <w:szCs w:val="28"/>
        </w:rPr>
        <w:t xml:space="preserve">Site Control Changes Every Supplier Conversation</w:t>
      </w:r>
    </w:p>
    <w:p>
      <w:pPr>
        <w:spacing w:after="120" w:before="60" w:line="288"/>
        <w:jc w:val="left"/>
      </w:pPr>
      <w:r>
        <w:rPr>
          <w:rFonts w:ascii="Arial" w:cs="Arial" w:eastAsia="Arial" w:hAnsi="Arial"/>
          <w:color w:val="2C2C30"/>
          <w:sz w:val="22"/>
          <w:szCs w:val="22"/>
        </w:rPr>
        <w:t xml:space="preserve">This is the argument Trevor needs to understand before any supplier meeting. A signed long-term ground lease with the City of Wilmington is not just a real estate instrument — it is a negotiating credential that transforms Merge4Ward from a startup buyer into a committed, site-locked manufacturer with a defined production ramp. Every supplier of structural building components prices their product based on perceived buyer commitment. Confirmed site control signals permanence. Permanence unlocks pricing, terms, and exclusivity arrangements that are simply unavailable to a development-stage buyer without a facility.</w:t>
      </w:r>
    </w:p>
    <w:p>
      <w:pPr>
        <w:spacing w:after="60" w:before="60"/>
        <w:jc w:val="left"/>
      </w:pPr>
      <w:r>
        <w:rPr>
          <w:rFonts w:ascii="Arial" w:cs="Arial" w:eastAsia="Arial" w:hAnsi="Arial"/>
          <w:b/>
          <w:bCs/>
          <w:color w:val="0A2342"/>
          <w:sz w:val="22"/>
          <w:szCs w:val="22"/>
        </w:rPr>
        <w:t xml:space="preserve">The mechanism works on three levels:</w:t>
      </w:r>
    </w:p>
    <w:p>
      <w:pPr>
        <w:pStyle w:val="ListParagraph"/>
        <w:numPr>
          <w:ilvl w:val="0"/>
          <w:numId w:val="2"/>
        </w:numPr>
        <w:spacing w:after="40" w:before="40" w:line="276"/>
        <w:jc w:val="left"/>
      </w:pPr>
      <w:r>
        <w:rPr>
          <w:rFonts w:ascii="Arial" w:cs="Arial" w:eastAsia="Arial" w:hAnsi="Arial"/>
          <w:b/>
          <w:bCs/>
          <w:color w:val="0A2342"/>
          <w:sz w:val="21"/>
          <w:szCs w:val="21"/>
        </w:rPr>
        <w:t xml:space="preserve">Volume commitment credibility.</w:t>
      </w:r>
      <w:r>
        <w:rPr>
          <w:rFonts w:ascii="Arial" w:cs="Arial" w:eastAsia="Arial" w:hAnsi="Arial"/>
          <w:color w:val="2C2C30"/>
          <w:sz w:val="21"/>
          <w:szCs w:val="21"/>
        </w:rPr>
        <w:t xml:space="preserve">  A manufacturer with a permitted, ground-leased facility can credibly commit to annual purchase volumes. A developer without site control cannot. Suppliers price uncertainty — when uncertainty disappears, margin compression follows.</w:t>
      </w:r>
    </w:p>
    <w:p>
      <w:pPr>
        <w:pStyle w:val="ListParagraph"/>
        <w:numPr>
          <w:ilvl w:val="0"/>
          <w:numId w:val="2"/>
        </w:numPr>
        <w:spacing w:after="40" w:before="40" w:line="276"/>
        <w:jc w:val="left"/>
      </w:pPr>
      <w:r>
        <w:rPr>
          <w:rFonts w:ascii="Arial" w:cs="Arial" w:eastAsia="Arial" w:hAnsi="Arial"/>
          <w:b/>
          <w:bCs/>
          <w:color w:val="0A2342"/>
          <w:sz w:val="21"/>
          <w:szCs w:val="21"/>
        </w:rPr>
        <w:t xml:space="preserve">Exclusivity leverage.</w:t>
      </w:r>
      <w:r>
        <w:rPr>
          <w:rFonts w:ascii="Arial" w:cs="Arial" w:eastAsia="Arial" w:hAnsi="Arial"/>
          <w:color w:val="2C2C30"/>
          <w:sz w:val="21"/>
          <w:szCs w:val="21"/>
        </w:rPr>
        <w:t xml:space="preserve">  For suppliers seeking a Mid-Atlantic distribution point — TerraLam, Structurlam, AAC manufacturers, Thermo-Brace, Framecrete — a confirmed Wilmington facility is a potential regional anchor relationship, not a one-time order. Anchor relationships carry preferred pricing, supply priority, and co-marketing value that spot buyers never access.</w:t>
      </w:r>
    </w:p>
    <w:p>
      <w:pPr>
        <w:pStyle w:val="ListParagraph"/>
        <w:numPr>
          <w:ilvl w:val="0"/>
          <w:numId w:val="2"/>
        </w:numPr>
        <w:spacing w:after="40" w:before="40" w:line="276"/>
        <w:jc w:val="left"/>
      </w:pPr>
      <w:r>
        <w:rPr>
          <w:rFonts w:ascii="Arial" w:cs="Arial" w:eastAsia="Arial" w:hAnsi="Arial"/>
          <w:b/>
          <w:bCs/>
          <w:color w:val="0A2342"/>
          <w:sz w:val="21"/>
          <w:szCs w:val="21"/>
        </w:rPr>
        <w:t xml:space="preserve">Financing instrument effect.</w:t>
      </w:r>
      <w:r>
        <w:rPr>
          <w:rFonts w:ascii="Arial" w:cs="Arial" w:eastAsia="Arial" w:hAnsi="Arial"/>
          <w:color w:val="2C2C30"/>
          <w:sz w:val="21"/>
          <w:szCs w:val="21"/>
        </w:rPr>
        <w:t xml:space="preserve">  A ground lease is a bankable instrument. Suppliers with vendor financing programs — and several CLT manufacturers offer this — will extend more favorable terms when the buyer has a real estate position that demonstrates solvency and long-term operating intent.</w:t>
      </w:r>
    </w:p>
    <w:p>
      <w:pPr>
        <w:spacing w:after="80" w:before="0"/>
        <w:jc w:val="left"/>
      </w:pPr>
      <w:r>
        <w:rPr>
          <w:rFonts w:ascii="Arial" w:cs="Arial" w:eastAsia="Arial" w:hAnsi="Arial"/>
          <w:color w:val="2C2C3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560"/>
        <w:gridCol w:w="2760"/>
        <w:gridCol w:w="2560"/>
      </w:tblGrid>
      <w:tr>
        <w:trPr>
          <w:tblHeader/>
        </w:trPr>
        <w:tc>
          <w:tcPr>
            <w:tcW w:type="dxa" w:w="22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SUPPLIER / SYSTEM</w:t>
            </w:r>
          </w:p>
        </w:tc>
        <w:tc>
          <w:tcPr>
            <w:tcW w:type="dxa" w:w="2560"/>
            <w:tcBorders>
              <w:top w:val="single" w:color="C89C2A" w:sz="1"/>
              <w:left w:val="single" w:color="C89C2A" w:sz="1"/>
              <w:bottom w:val="single" w:color="C89C2A" w:sz="1"/>
              <w:right w:val="single" w:color="C89C2A" w:sz="1"/>
            </w:tcBorders>
            <w:shd w:fill="C89C2A" w:val="clear"/>
            <w:tcMar>
              <w:top w:type="dxa" w:w="100"/>
              <w:left w:type="dxa" w:w="140"/>
              <w:bottom w:type="dxa" w:w="100"/>
              <w:right w:type="dxa" w:w="140"/>
            </w:tcMar>
            <w:vAlign w:val="top"/>
          </w:tcPr>
          <w:p>
            <w:pPr>
              <w:spacing w:after="80" w:before="80"/>
              <w:jc w:val="left"/>
            </w:pPr>
            <w:r>
              <w:rPr>
                <w:rFonts w:ascii="Arial" w:cs="Arial" w:eastAsia="Arial" w:hAnsi="Arial"/>
                <w:b/>
                <w:bCs/>
                <w:caps/>
                <w:color w:val="0A2342"/>
                <w:sz w:val="17"/>
                <w:szCs w:val="17"/>
              </w:rPr>
              <w:t xml:space="preserve">WITHOUT GROUND LEASE</w:t>
            </w:r>
          </w:p>
        </w:tc>
        <w:tc>
          <w:tcPr>
            <w:tcW w:type="dxa" w:w="2760"/>
            <w:tcBorders>
              <w:top w:val="single" w:color="3A5A1C" w:sz="1"/>
              <w:left w:val="single" w:color="3A5A1C" w:sz="1"/>
              <w:bottom w:val="single" w:color="3A5A1C" w:sz="1"/>
              <w:right w:val="single" w:color="3A5A1C" w:sz="1"/>
            </w:tcBorders>
            <w:shd w:fill="3A5A1C"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WITH CONFIRMED GROUND LEASE</w:t>
            </w:r>
          </w:p>
        </w:tc>
        <w:tc>
          <w:tcPr>
            <w:tcW w:type="dxa" w:w="2560"/>
            <w:tcBorders>
              <w:top w:val="single" w:color="1A5C6B" w:sz="1"/>
              <w:left w:val="single" w:color="1A5C6B" w:sz="1"/>
              <w:bottom w:val="single" w:color="1A5C6B" w:sz="1"/>
              <w:right w:val="single" w:color="1A5C6B" w:sz="1"/>
            </w:tcBorders>
            <w:shd w:fill="1A5C6B"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ROM COST DELTA</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0A2342"/>
                <w:sz w:val="19"/>
                <w:szCs w:val="19"/>
              </w:rPr>
              <w:t xml:space="preserve">CLT Panel Supply
(TerraLam / Structurlam / Mercer Mass Timber)</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B91C1C"/>
                <w:sz w:val="19"/>
                <w:szCs w:val="19"/>
              </w:rPr>
              <w:t xml:space="preserve">Spot buyer: list price $180–$240/m³. No volume discount. 12–16 week lead times. No supply priority. No vendor financing.</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3A5A1C"/>
                <w:sz w:val="19"/>
                <w:szCs w:val="19"/>
              </w:rPr>
              <w:t xml:space="preserve">Anchor manufacturer relationship: $145–$195/m³ at contracted annual volume. 6–8 week lead times. Supply allocation priority. Potential vendor financing on first facility order.</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A5C6B"/>
                <w:sz w:val="19"/>
                <w:szCs w:val="19"/>
              </w:rPr>
              <w:t xml:space="preserve">~$35–$55/m³ savings
(18–23% reduction)</w:t>
            </w:r>
          </w:p>
        </w:tc>
      </w:tr>
      <w:tr>
        <w:tc>
          <w:tcPr>
            <w:tcW w:type="dxa" w:w="22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jc w:val="left"/>
            </w:pPr>
            <w:r>
              <w:rPr>
                <w:rFonts w:ascii="Arial" w:cs="Arial" w:eastAsia="Arial" w:hAnsi="Arial"/>
                <w:b/>
                <w:bCs/>
                <w:color w:val="0A2342"/>
                <w:sz w:val="19"/>
                <w:szCs w:val="19"/>
              </w:rPr>
              <w:t xml:space="preserve">SIP Panel Supply
(Acme Panel / Premier SIPs / Panelwrights)</w:t>
            </w:r>
          </w:p>
        </w:tc>
        <w:tc>
          <w:tcPr>
            <w:tcW w:type="dxa" w:w="256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B91C1C"/>
                <w:sz w:val="19"/>
                <w:szCs w:val="19"/>
              </w:rPr>
              <w:t xml:space="preserve">Project-by-project procurement. Full list price. No standing order discount. Fabrication queue position uncertain.</w:t>
            </w:r>
          </w:p>
        </w:tc>
        <w:tc>
          <w:tcPr>
            <w:tcW w:type="dxa" w:w="276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3A5A1C"/>
                <w:sz w:val="19"/>
                <w:szCs w:val="19"/>
              </w:rPr>
              <w:t xml:space="preserve">Standing annual supply agreement: 8–15% volume discount on committed annual SF. Dedicated fabrication queue slot. Co-branding as Mid-Atlantic distributor.</w:t>
            </w:r>
          </w:p>
        </w:tc>
        <w:tc>
          <w:tcPr>
            <w:tcW w:type="dxa" w:w="256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jc w:val="left"/>
            </w:pPr>
            <w:r>
              <w:rPr>
                <w:rFonts w:ascii="Arial" w:cs="Arial" w:eastAsia="Arial" w:hAnsi="Arial"/>
                <w:b/>
                <w:bCs/>
                <w:color w:val="1A5C6B"/>
                <w:sz w:val="19"/>
                <w:szCs w:val="19"/>
              </w:rPr>
              <w:t xml:space="preserve">8–15% reduction
on SIP panel cost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0A2342"/>
                <w:sz w:val="19"/>
                <w:szCs w:val="19"/>
              </w:rPr>
              <w:t xml:space="preserve">AAC Block / Panel
(Aercon / Xella / Brickform)</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B91C1C"/>
                <w:sz w:val="19"/>
                <w:szCs w:val="19"/>
              </w:rPr>
              <w:t xml:space="preserve">Standard distributor pricing. Freight from nearest stocking warehouse adds $15–$30/panel equivalent.</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3A5A1C"/>
                <w:sz w:val="19"/>
                <w:szCs w:val="19"/>
              </w:rPr>
              <w:t xml:space="preserve">Direct manufacturer supply agreement at Wilmington node. Freight savings (DE river port) + 10–18% volume pricing.</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A5C6B"/>
                <w:sz w:val="19"/>
                <w:szCs w:val="19"/>
              </w:rPr>
              <w:t xml:space="preserve">10–18% product + freight savings combined</w:t>
            </w:r>
          </w:p>
        </w:tc>
      </w:tr>
      <w:tr>
        <w:tc>
          <w:tcPr>
            <w:tcW w:type="dxa" w:w="22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jc w:val="left"/>
            </w:pPr>
            <w:r>
              <w:rPr>
                <w:rFonts w:ascii="Arial" w:cs="Arial" w:eastAsia="Arial" w:hAnsi="Arial"/>
                <w:b/>
                <w:bCs/>
                <w:color w:val="0A2342"/>
                <w:sz w:val="19"/>
                <w:szCs w:val="19"/>
              </w:rPr>
              <w:t xml:space="preserve">Thermo-Brace
Structural Insulated Sheathing</w:t>
            </w:r>
          </w:p>
        </w:tc>
        <w:tc>
          <w:tcPr>
            <w:tcW w:type="dxa" w:w="256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B91C1C"/>
                <w:sz w:val="19"/>
                <w:szCs w:val="19"/>
              </w:rPr>
              <w:t xml:space="preserve">Broker/distributor pricing. No direct manufacturer relationship. No preferred access to limited supply.</w:t>
            </w:r>
          </w:p>
        </w:tc>
        <w:tc>
          <w:tcPr>
            <w:tcW w:type="dxa" w:w="276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3A5A1C"/>
                <w:sz w:val="19"/>
                <w:szCs w:val="19"/>
              </w:rPr>
              <w:t xml:space="preserve">Direct OEM supply agreement as regional anchor. Priority allocation of limited production runs. 10–15% below distributor.</w:t>
            </w:r>
          </w:p>
        </w:tc>
        <w:tc>
          <w:tcPr>
            <w:tcW w:type="dxa" w:w="256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jc w:val="left"/>
            </w:pPr>
            <w:r>
              <w:rPr>
                <w:rFonts w:ascii="Arial" w:cs="Arial" w:eastAsia="Arial" w:hAnsi="Arial"/>
                <w:b/>
                <w:bCs/>
                <w:color w:val="1A5C6B"/>
                <w:sz w:val="19"/>
                <w:szCs w:val="19"/>
              </w:rPr>
              <w:t xml:space="preserve">10–15% below distributor
+ supply security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0A2342"/>
                <w:sz w:val="19"/>
                <w:szCs w:val="19"/>
              </w:rPr>
              <w:t xml:space="preserve">Framecrete / ICF Systems
(Nudura / Fox Blocks / Logix)</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B91C1C"/>
                <w:sz w:val="19"/>
                <w:szCs w:val="19"/>
              </w:rPr>
              <w:t xml:space="preserve">Contractor pricing tier. No volume rebate. No regional distribution rights.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3A5A1C"/>
                <w:sz w:val="19"/>
                <w:szCs w:val="19"/>
              </w:rPr>
              <w:t xml:space="preserve">Regional distributor or preferred installer relationship: 12–20% below contractor tier + territory exclusivity for DE/PA/NJ/MD market.</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A5C6B"/>
                <w:sz w:val="19"/>
                <w:szCs w:val="19"/>
              </w:rPr>
              <w:t xml:space="preserve">12–20% cost reduction
+ territorial moat</w:t>
            </w:r>
          </w:p>
        </w:tc>
      </w:tr>
      <w:tr>
        <w:tc>
          <w:tcPr>
            <w:tcW w:type="dxa" w:w="22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jc w:val="left"/>
            </w:pPr>
            <w:r>
              <w:rPr>
                <w:rFonts w:ascii="Arial" w:cs="Arial" w:eastAsia="Arial" w:hAnsi="Arial"/>
                <w:b/>
                <w:bCs/>
                <w:color w:val="0A2342"/>
                <w:sz w:val="19"/>
                <w:szCs w:val="19"/>
              </w:rPr>
              <w:t xml:space="preserve">AGGREGATE IMPACT
(All systems, Yr 2–3 steady state)</w:t>
            </w:r>
          </w:p>
        </w:tc>
        <w:tc>
          <w:tcPr>
            <w:tcW w:type="dxa" w:w="256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B91C1C"/>
                <w:sz w:val="19"/>
                <w:szCs w:val="19"/>
              </w:rPr>
              <w:t xml:space="preserve">Standard market pricing across all systems. No leverage. No supply security. Higher per-panel material cost.</w:t>
            </w:r>
          </w:p>
        </w:tc>
        <w:tc>
          <w:tcPr>
            <w:tcW w:type="dxa" w:w="276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3A5A1C"/>
                <w:sz w:val="19"/>
                <w:szCs w:val="19"/>
              </w:rPr>
              <w:t xml:space="preserve">Blended material cost reduction across CLT/SIP/AAC/sheathing/ICF with committed site and annual volume.</w:t>
            </w:r>
          </w:p>
        </w:tc>
        <w:tc>
          <w:tcPr>
            <w:tcW w:type="dxa" w:w="256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jc w:val="left"/>
            </w:pPr>
            <w:r>
              <w:rPr>
                <w:rFonts w:ascii="Arial" w:cs="Arial" w:eastAsia="Arial" w:hAnsi="Arial"/>
                <w:b/>
                <w:bCs/>
                <w:color w:val="1A5C6B"/>
                <w:sz w:val="19"/>
                <w:szCs w:val="19"/>
              </w:rPr>
              <w:t xml:space="preserve">ROM 12–22% blended
material cost reduction</w:t>
            </w:r>
          </w:p>
        </w:tc>
      </w:tr>
    </w:tbl>
    <w:p>
      <w:pPr>
        <w:spacing w:after="80" w:before="0"/>
        <w:jc w:val="left"/>
      </w:pPr>
      <w:r>
        <w:rPr>
          <w:rFonts w:ascii="Arial" w:cs="Arial" w:eastAsia="Arial" w:hAnsi="Arial"/>
          <w:color w:val="2C2C30"/>
          <w:sz w:val="22"/>
          <w:szCs w:val="22"/>
        </w:rPr>
        <w:t xml:space="preserve"/>
      </w:r>
    </w:p>
    <w:p>
      <w:pPr>
        <w:spacing w:after="120" w:before="0"/>
        <w:jc w:val="left"/>
      </w:pPr>
      <w:r>
        <w:rPr>
          <w:rFonts w:ascii="Arial" w:cs="Arial" w:eastAsia="Arial" w:hAnsi="Arial"/>
          <w:i/>
          <w:iCs/>
          <w:color w:val="6B6B72"/>
          <w:sz w:val="17"/>
          <w:szCs w:val="17"/>
        </w:rPr>
        <w:t xml:space="preserve">ROM cost delta estimates based on published manufacturer volume discount schedules, regional freight savings from waterfront DE location, and comparable preferred supplier agreements in the CLT/mass timber market. Actual savings depend on negotiated terms, committed annual volumes, and product mix. Merchant review required before committing to any supply agreement.</w:t>
      </w:r>
    </w:p>
    <w:p>
      <w:pPr>
        <w:spacing w:after="100" w:before="0"/>
        <w:jc w:val="left"/>
      </w:pPr>
      <w:r>
        <w:rPr>
          <w:rFonts w:ascii="Arial" w:cs="Arial" w:eastAsia="Arial" w:hAnsi="Arial"/>
          <w:color w:val="2C2C3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8"/>
                <w:szCs w:val="18"/>
              </w:rPr>
              <w:t xml:space="preserve">Section 3 — Financial Picture: The Campus Economics</w:t>
            </w:r>
          </w:p>
        </w:tc>
      </w:tr>
    </w:tbl>
    <w:p>
      <w:pPr>
        <w:spacing w:after="80" w:before="0"/>
        <w:jc w:val="left"/>
      </w:pPr>
      <w:r>
        <w:rPr>
          <w:rFonts w:ascii="Arial" w:cs="Arial" w:eastAsia="Arial" w:hAnsi="Arial"/>
          <w:color w:val="2C2C30"/>
          <w:sz w:val="22"/>
          <w:szCs w:val="22"/>
        </w:rPr>
        <w:t xml:space="preserve"/>
      </w:r>
    </w:p>
    <w:p>
      <w:pPr>
        <w:pStyle w:val="Heading1"/>
        <w:pBdr>
          <w:left w:val="single" w:color="C89C2A" w:sz="18" w:space="6"/>
        </w:pBdr>
        <w:spacing w:after="120" w:before="240"/>
        <w:ind w:left="160"/>
      </w:pPr>
      <w:r>
        <w:rPr>
          <w:rFonts w:ascii="Arial" w:cs="Arial" w:eastAsia="Arial" w:hAnsi="Arial"/>
          <w:b/>
          <w:bCs/>
          <w:color w:val="0A2342"/>
          <w:sz w:val="28"/>
          <w:szCs w:val="28"/>
        </w:rPr>
        <w:t xml:space="preserve">What the Wilmington Campus Generates — ROM</w:t>
      </w:r>
    </w:p>
    <w:p>
      <w:pPr>
        <w:spacing w:after="120" w:before="60" w:line="288"/>
        <w:jc w:val="left"/>
      </w:pPr>
      <w:r>
        <w:rPr>
          <w:rFonts w:ascii="Arial" w:cs="Arial" w:eastAsia="Arial" w:hAnsi="Arial"/>
          <w:color w:val="2C2C30"/>
          <w:sz w:val="22"/>
          <w:szCs w:val="22"/>
        </w:rPr>
        <w:t xml:space="preserve">The Wilmington Campus operates as three revenue streams sharing one ground lease cost. Merge4Ward manufacturing revenue, M4CleanTech ground lease spread, and procurement savings (which reduce project cost and improve margin on every Forward Building System delivery) all flow from the same foundational instrument: the City ground lease.</w:t>
      </w:r>
    </w:p>
    <w:p>
      <w:pPr>
        <w:pStyle w:val="Heading2"/>
        <w:spacing w:after="100" w:before="180"/>
      </w:pPr>
      <w:r>
        <w:rPr>
          <w:rFonts w:ascii="Arial" w:cs="Arial" w:eastAsia="Arial" w:hAnsi="Arial"/>
          <w:b/>
          <w:bCs/>
          <w:color w:val="0A2342"/>
          <w:sz w:val="24"/>
          <w:szCs w:val="24"/>
        </w:rPr>
        <w:t xml:space="preserve">Stream 1 — Merge4Ward Manufacturing Revenue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80"/>
        <w:gridCol w:w="2200"/>
        <w:gridCol w:w="1600"/>
      </w:tblGrid>
      <w:tr>
        <w:trPr>
          <w:tblHeader/>
        </w:trPr>
        <w:tc>
          <w:tcPr>
            <w:tcW w:type="dxa" w:w="24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Revenue Stream</w:t>
            </w:r>
          </w:p>
        </w:tc>
        <w:tc>
          <w:tcPr>
            <w:tcW w:type="dxa" w:w="388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Description</w:t>
            </w:r>
          </w:p>
        </w:tc>
        <w:tc>
          <w:tcPr>
            <w:tcW w:type="dxa" w:w="22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ROM Amount</w:t>
            </w:r>
          </w:p>
        </w:tc>
        <w:tc>
          <w:tcPr>
            <w:tcW w:type="dxa" w:w="16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Timing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Panel Production Revenue</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CLT/SIP/AAC panels fabricated and sold to M4D project pipeline + third-party developers in DE/PA/NJ/MD market. Year 3 steady state at 40–60% facility utilization.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$4.2M–$7.8M gross/yr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6B6B72"/>
                <w:sz w:val="19"/>
                <w:szCs w:val="19"/>
              </w:rPr>
              <w:t xml:space="preserve">Year 2–3 ramp</w:t>
            </w:r>
          </w:p>
        </w:tc>
      </w:tr>
      <w:tr>
        <w:tc>
          <w:tcPr>
            <w:tcW w:type="dxa" w:w="24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Material Cost at Market</w:t>
            </w:r>
          </w:p>
        </w:tc>
        <w:tc>
          <w:tcPr>
            <w:tcW w:type="dxa" w:w="388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Without ground lease / supplier agreements — standard procurement, no volume discount.</w:t>
            </w:r>
          </w:p>
        </w:tc>
        <w:tc>
          <w:tcPr>
            <w:tcW w:type="dxa" w:w="22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B91C1C"/>
                <w:sz w:val="19"/>
                <w:szCs w:val="19"/>
              </w:rPr>
              <w:t xml:space="preserve">($2.8M–$5.6M)/yr</w:t>
            </w:r>
          </w:p>
        </w:tc>
        <w:tc>
          <w:tcPr>
            <w:tcW w:type="dxa" w:w="16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Baseline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3A5A1C"/>
                <w:sz w:val="19"/>
                <w:szCs w:val="19"/>
              </w:rPr>
              <w:t xml:space="preserve">Material Cost with Agreements</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3A5A1C"/>
                <w:sz w:val="19"/>
                <w:szCs w:val="19"/>
              </w:rPr>
              <w:t xml:space="preserve">12–22% blended reduction from confirmed ground lease procurement leverage + direct supplier agreements.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3A5A1C"/>
                <w:sz w:val="19"/>
                <w:szCs w:val="19"/>
              </w:rPr>
              <w:t xml:space="preserve">($2.2M–$4.4M)/yr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Post-agreement</w:t>
            </w:r>
          </w:p>
        </w:tc>
      </w:tr>
      <w:tr>
        <w:tc>
          <w:tcPr>
            <w:tcW w:type="dxa" w:w="24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b/>
                <w:bCs/>
                <w:color w:val="1A5C6B"/>
                <w:sz w:val="19"/>
                <w:szCs w:val="19"/>
              </w:rPr>
              <w:t xml:space="preserve">Gross Margin Improvement</w:t>
            </w:r>
          </w:p>
        </w:tc>
        <w:tc>
          <w:tcPr>
            <w:tcW w:type="dxa" w:w="388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1A5C6B"/>
                <w:sz w:val="19"/>
                <w:szCs w:val="19"/>
              </w:rPr>
              <w:t xml:space="preserve">Procurement savings flow directly to Merge4Ward gross margin — not passed to buyer unless competitively necessary.</w:t>
            </w:r>
          </w:p>
        </w:tc>
        <w:tc>
          <w:tcPr>
            <w:tcW w:type="dxa" w:w="22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b/>
                <w:bCs/>
                <w:color w:val="1A5C6B"/>
                <w:sz w:val="19"/>
                <w:szCs w:val="19"/>
              </w:rPr>
              <w:t xml:space="preserve">+$600K–$1.2M/yr</w:t>
            </w:r>
          </w:p>
        </w:tc>
        <w:tc>
          <w:tcPr>
            <w:tcW w:type="dxa" w:w="16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Recurring annual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Operating Costs (ex-material)</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Labor (40–80 FTE), facility, utilities, insurance, debt service on equipment.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B91C1C"/>
                <w:sz w:val="19"/>
                <w:szCs w:val="19"/>
              </w:rPr>
              <w:t xml:space="preserve">($800K–$1.6M)/yr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Steady state</w:t>
            </w:r>
          </w:p>
        </w:tc>
      </w:tr>
      <w:tr>
        <w:tc>
          <w:tcPr>
            <w:tcW w:type="dxa" w:w="2400"/>
            <w:tcBorders>
              <w:top w:val="single" w:color="CCCCCC" w:sz="1"/>
              <w:left w:val="single" w:color="CCCCCC" w:sz="1"/>
              <w:bottom w:val="single" w:color="CCCCCC" w:sz="1"/>
              <w:right w:val="single" w:color="CCCCCC" w:sz="1"/>
            </w:tcBorders>
            <w:shd w:fill="E8EEF6" w:val="clear"/>
            <w:tcMar>
              <w:top w:type="dxa" w:w="100"/>
              <w:left w:type="dxa" w:w="140"/>
              <w:bottom w:type="dxa" w:w="100"/>
              <w:right w:type="dxa" w:w="140"/>
            </w:tcMar>
            <w:vAlign w:val="top"/>
          </w:tcPr>
          <w:p>
            <w:pPr>
              <w:spacing w:after="60" w:before="60" w:line="260"/>
              <w:jc w:val="left"/>
            </w:pPr>
            <w:r>
              <w:rPr>
                <w:rFonts w:ascii="Arial" w:cs="Arial" w:eastAsia="Arial" w:hAnsi="Arial"/>
                <w:b/>
                <w:bCs/>
                <w:color w:val="2C2C30"/>
                <w:sz w:val="19"/>
                <w:szCs w:val="19"/>
              </w:rPr>
              <w:t xml:space="preserve">NET OPERATING INCOME — Merge4Ward</w:t>
            </w:r>
          </w:p>
        </w:tc>
        <w:tc>
          <w:tcPr>
            <w:tcW w:type="dxa" w:w="3880"/>
            <w:tcBorders>
              <w:top w:val="single" w:color="CCCCCC" w:sz="1"/>
              <w:left w:val="single" w:color="CCCCCC" w:sz="1"/>
              <w:bottom w:val="single" w:color="CCCCCC" w:sz="1"/>
              <w:right w:val="single" w:color="CCCCCC" w:sz="1"/>
            </w:tcBorders>
            <w:shd w:fill="E8EEF6" w:val="clear"/>
            <w:tcMar>
              <w:top w:type="dxa" w:w="100"/>
              <w:left w:type="dxa" w:w="140"/>
              <w:bottom w:type="dxa" w:w="100"/>
              <w:right w:type="dxa" w:w="140"/>
            </w:tcMar>
            <w:vAlign w:val="top"/>
          </w:tcPr>
          <w:p>
            <w:pPr>
              <w:spacing w:after="60" w:before="60" w:line="260"/>
              <w:jc w:val="left"/>
            </w:pPr>
            <w:r>
              <w:rPr>
                <w:rFonts w:ascii="Arial" w:cs="Arial" w:eastAsia="Arial" w:hAnsi="Arial"/>
                <w:b/>
                <w:bCs/>
                <w:color w:val="2C2C30"/>
                <w:sz w:val="19"/>
                <w:szCs w:val="19"/>
              </w:rPr>
              <w:t xml:space="preserve">Manufacturing NOI at Year 3 steady state.</w:t>
            </w:r>
          </w:p>
        </w:tc>
        <w:tc>
          <w:tcPr>
            <w:tcW w:type="dxa" w:w="2200"/>
            <w:tcBorders>
              <w:top w:val="single" w:color="CCCCCC" w:sz="1"/>
              <w:left w:val="single" w:color="CCCCCC" w:sz="1"/>
              <w:bottom w:val="single" w:color="CCCCCC" w:sz="1"/>
              <w:right w:val="single" w:color="CCCCCC" w:sz="1"/>
            </w:tcBorders>
            <w:shd w:fill="E8EEF6"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$1.2M–$1.6M/yr</w:t>
            </w:r>
          </w:p>
        </w:tc>
        <w:tc>
          <w:tcPr>
            <w:tcW w:type="dxa" w:w="1600"/>
            <w:tcBorders>
              <w:top w:val="single" w:color="CCCCCC" w:sz="1"/>
              <w:left w:val="single" w:color="CCCCCC" w:sz="1"/>
              <w:bottom w:val="single" w:color="CCCCCC" w:sz="1"/>
              <w:right w:val="single" w:color="CCCCCC" w:sz="1"/>
            </w:tcBorders>
            <w:shd w:fill="E8EEF6"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Year 3+</w:t>
            </w:r>
          </w:p>
        </w:tc>
      </w:tr>
    </w:tbl>
    <w:p>
      <w:pPr>
        <w:spacing w:after="80" w:before="0"/>
        <w:jc w:val="left"/>
      </w:pPr>
      <w:r>
        <w:rPr>
          <w:rFonts w:ascii="Arial" w:cs="Arial" w:eastAsia="Arial" w:hAnsi="Arial"/>
          <w:color w:val="2C2C30"/>
          <w:sz w:val="22"/>
          <w:szCs w:val="22"/>
        </w:rPr>
        <w:t xml:space="preserve"/>
      </w:r>
    </w:p>
    <w:p>
      <w:pPr>
        <w:pStyle w:val="Heading2"/>
        <w:spacing w:after="100" w:before="180"/>
      </w:pPr>
      <w:r>
        <w:rPr>
          <w:rFonts w:ascii="Arial" w:cs="Arial" w:eastAsia="Arial" w:hAnsi="Arial"/>
          <w:b/>
          <w:bCs/>
          <w:color w:val="0A2342"/>
          <w:sz w:val="24"/>
          <w:szCs w:val="24"/>
        </w:rPr>
        <w:t xml:space="preserve">Stream 2 — M4CleanTech DE Revenue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80"/>
        <w:gridCol w:w="2200"/>
        <w:gridCol w:w="1600"/>
      </w:tblGrid>
      <w:tr>
        <w:trPr>
          <w:tblHeader/>
        </w:trPr>
        <w:tc>
          <w:tcPr>
            <w:tcW w:type="dxa" w:w="24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Revenue Stream</w:t>
            </w:r>
          </w:p>
        </w:tc>
        <w:tc>
          <w:tcPr>
            <w:tcW w:type="dxa" w:w="388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Description</w:t>
            </w:r>
          </w:p>
        </w:tc>
        <w:tc>
          <w:tcPr>
            <w:tcW w:type="dxa" w:w="22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ROM Amount</w:t>
            </w:r>
          </w:p>
        </w:tc>
        <w:tc>
          <w:tcPr>
            <w:tcW w:type="dxa" w:w="16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Timing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Ground Lease Spread</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City charges M4CleanTech nominal rent ($1–$5K/yr). Klean/KBR BOO sublessee pays M4CleanTech market industrial ground rent ($50K–$120K/yr). M4CleanTech pockets spread.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$45K–$119K/yr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From BOO execution</w:t>
            </w:r>
          </w:p>
        </w:tc>
      </w:tr>
      <w:tr>
        <w:tc>
          <w:tcPr>
            <w:tcW w:type="dxa" w:w="24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Developer Fee (one-time)</w:t>
            </w:r>
          </w:p>
        </w:tc>
        <w:tc>
          <w:tcPr>
            <w:tcW w:type="dxa" w:w="388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M4CleanTech bills Klean/KBR for DE site development services under PSA. Recoverable at BOO financial close.</w:t>
            </w:r>
          </w:p>
        </w:tc>
        <w:tc>
          <w:tcPr>
            <w:tcW w:type="dxa" w:w="22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$360K–$600K</w:t>
            </w:r>
          </w:p>
        </w:tc>
        <w:tc>
          <w:tcPr>
            <w:tcW w:type="dxa" w:w="16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At BOO close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Retained Equity Stake</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5–15% equity participation in DE BOO facility negotiated at deal formation.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5–15% facility value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Exit Year 8–15</w:t>
            </w:r>
          </w:p>
        </w:tc>
      </w:tr>
      <w:tr>
        <w:tc>
          <w:tcPr>
            <w:tcW w:type="dxa" w:w="2400"/>
            <w:tcBorders>
              <w:top w:val="single" w:color="CCCCCC" w:sz="1"/>
              <w:left w:val="single" w:color="CCCCCC" w:sz="1"/>
              <w:bottom w:val="single" w:color="CCCCCC" w:sz="1"/>
              <w:right w:val="single" w:color="CCCCCC" w:sz="1"/>
            </w:tcBorders>
            <w:shd w:fill="EDF4E1" w:val="clear"/>
            <w:tcMar>
              <w:top w:type="dxa" w:w="100"/>
              <w:left w:type="dxa" w:w="140"/>
              <w:bottom w:type="dxa" w:w="100"/>
              <w:right w:type="dxa" w:w="140"/>
            </w:tcMar>
            <w:vAlign w:val="top"/>
          </w:tcPr>
          <w:p>
            <w:pPr>
              <w:spacing w:after="60" w:before="60" w:line="260"/>
              <w:jc w:val="left"/>
            </w:pPr>
            <w:r>
              <w:rPr>
                <w:rFonts w:ascii="Arial" w:cs="Arial" w:eastAsia="Arial" w:hAnsi="Arial"/>
                <w:b/>
                <w:bCs/>
                <w:color w:val="2C2C30"/>
                <w:sz w:val="19"/>
                <w:szCs w:val="19"/>
              </w:rPr>
              <w:t xml:space="preserve">DE M4CleanTech NOI Total (ground lease only)</w:t>
            </w:r>
          </w:p>
        </w:tc>
        <w:tc>
          <w:tcPr>
            <w:tcW w:type="dxa" w:w="3880"/>
            <w:tcBorders>
              <w:top w:val="single" w:color="CCCCCC" w:sz="1"/>
              <w:left w:val="single" w:color="CCCCCC" w:sz="1"/>
              <w:bottom w:val="single" w:color="CCCCCC" w:sz="1"/>
              <w:right w:val="single" w:color="CCCCCC" w:sz="1"/>
            </w:tcBorders>
            <w:shd w:fill="EDF4E1"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Cash flowing from Day 1 of BOO operations.</w:t>
            </w:r>
          </w:p>
        </w:tc>
        <w:tc>
          <w:tcPr>
            <w:tcW w:type="dxa" w:w="2200"/>
            <w:tcBorders>
              <w:top w:val="single" w:color="CCCCCC" w:sz="1"/>
              <w:left w:val="single" w:color="CCCCCC" w:sz="1"/>
              <w:bottom w:val="single" w:color="CCCCCC" w:sz="1"/>
              <w:right w:val="single" w:color="CCCCCC" w:sz="1"/>
            </w:tcBorders>
            <w:shd w:fill="EDF4E1"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$45K–$119K/yr</w:t>
            </w:r>
          </w:p>
        </w:tc>
        <w:tc>
          <w:tcPr>
            <w:tcW w:type="dxa" w:w="1600"/>
            <w:tcBorders>
              <w:top w:val="single" w:color="CCCCCC" w:sz="1"/>
              <w:left w:val="single" w:color="CCCCCC" w:sz="1"/>
              <w:bottom w:val="single" w:color="CCCCCC" w:sz="1"/>
              <w:right w:val="single" w:color="CCCCCC" w:sz="1"/>
            </w:tcBorders>
            <w:shd w:fill="EDF4E1"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Year 1 operations</w:t>
            </w:r>
          </w:p>
        </w:tc>
      </w:tr>
    </w:tbl>
    <w:p>
      <w:pPr>
        <w:spacing w:after="80" w:before="0"/>
        <w:jc w:val="left"/>
      </w:pPr>
      <w:r>
        <w:rPr>
          <w:rFonts w:ascii="Arial" w:cs="Arial" w:eastAsia="Arial" w:hAnsi="Arial"/>
          <w:color w:val="2C2C30"/>
          <w:sz w:val="22"/>
          <w:szCs w:val="22"/>
        </w:rPr>
        <w:t xml:space="preserve"/>
      </w:r>
    </w:p>
    <w:p>
      <w:pPr>
        <w:pStyle w:val="Heading2"/>
        <w:spacing w:after="100" w:before="180"/>
      </w:pPr>
      <w:r>
        <w:rPr>
          <w:rFonts w:ascii="Arial" w:cs="Arial" w:eastAsia="Arial" w:hAnsi="Arial"/>
          <w:b/>
          <w:bCs/>
          <w:color w:val="0A2342"/>
          <w:sz w:val="24"/>
          <w:szCs w:val="24"/>
        </w:rPr>
        <w:t xml:space="preserve">Stream 3 — Procurement Savings as Margin Enhancement</w:t>
      </w:r>
    </w:p>
    <w:p>
      <w:pPr>
        <w:spacing w:after="80" w:before="0" w:line="276"/>
        <w:jc w:val="left"/>
      </w:pPr>
      <w:r>
        <w:rPr>
          <w:rFonts w:ascii="Arial" w:cs="Arial" w:eastAsia="Arial" w:hAnsi="Arial"/>
          <w:color w:val="2C2C30"/>
          <w:sz w:val="22"/>
          <w:szCs w:val="22"/>
        </w:rPr>
        <w:t xml:space="preserve">This stream is often undervalued in project finance because it doesn't appear as revenue — it appears as cost reduction. But for Merge4Ward, a 12–22% blended reduction in material cost on a $4.2M–$7.8M revenue base is equivalent to adding $600K–$1.2M in annual gross margin without selling a single additional panel. That margin flows to either enhanced project competitiveness (lower bid prices vs. conventional construction) or retained Merge4Ward profit — or both.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89C2A" w:sz="1"/>
              <w:left w:val="single" w:color="C89C2A" w:sz="1"/>
              <w:bottom w:val="single" w:color="C89C2A" w:sz="1"/>
              <w:right w:val="single" w:color="C89C2A" w:sz="1"/>
            </w:tcBorders>
            <w:shd w:fill="FDF3D4" w:val="clear"/>
            <w:tcMar>
              <w:top w:type="dxa" w:w="100"/>
              <w:left w:type="dxa" w:w="140"/>
              <w:bottom w:type="dxa" w:w="100"/>
              <w:right w:type="dxa" w:w="140"/>
            </w:tcMar>
            <w:vAlign w:val="top"/>
          </w:tcPr>
          <w:p>
            <w:pPr>
              <w:spacing w:after="80" w:before="80"/>
              <w:jc w:val="left"/>
            </w:pPr>
            <w:r>
              <w:rPr>
                <w:rFonts w:ascii="Arial" w:cs="Arial" w:eastAsia="Arial" w:hAnsi="Arial"/>
                <w:b/>
                <w:bCs/>
                <w:caps/>
                <w:color w:val="0A2342"/>
                <w:sz w:val="17"/>
                <w:szCs w:val="17"/>
              </w:rPr>
              <w:t xml:space="preserve">WITHOUT GROUND LEASE / SUPPLIER AGREEMENTS</w:t>
            </w:r>
          </w:p>
        </w:tc>
        <w:tc>
          <w:tcPr>
            <w:tcW w:type="dxa" w:w="5040"/>
            <w:tcBorders>
              <w:top w:val="single" w:color="3A5A1C" w:sz="1"/>
              <w:left w:val="single" w:color="3A5A1C" w:sz="1"/>
              <w:bottom w:val="single" w:color="3A5A1C" w:sz="1"/>
              <w:right w:val="single" w:color="3A5A1C" w:sz="1"/>
            </w:tcBorders>
            <w:shd w:fill="3A5A1C"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WITH CONFIRMED GROUND LEASE + AGREEMENTS</w:t>
            </w:r>
          </w:p>
        </w:tc>
      </w:tr>
      <w:tr>
        <w:tc>
          <w:tcPr>
            <w:tcW w:type="dxa" w:w="5040"/>
            <w:tcBorders>
              <w:top w:val="single" w:color="CCCCCC" w:sz="1"/>
              <w:left w:val="single" w:color="CCCCCC" w:sz="1"/>
              <w:bottom w:val="single" w:color="CCCCCC" w:sz="1"/>
              <w:right w:val="single" w:color="CCCCCC" w:sz="1"/>
            </w:tcBorders>
            <w:shd w:fill="FEF2F2" w:val="clear"/>
            <w:tcMar>
              <w:top w:type="dxa" w:w="100"/>
              <w:left w:type="dxa" w:w="140"/>
              <w:bottom w:type="dxa" w:w="100"/>
              <w:right w:type="dxa" w:w="140"/>
            </w:tcMar>
            <w:vAlign w:val="top"/>
          </w:tcPr>
          <w:p>
            <w:pPr>
              <w:spacing w:after="40" w:before="60"/>
              <w:jc w:val="left"/>
            </w:pPr>
            <w:r>
              <w:rPr>
                <w:rFonts w:ascii="Arial" w:cs="Arial" w:eastAsia="Arial" w:hAnsi="Arial"/>
                <w:color w:val="B91C1C"/>
                <w:sz w:val="20"/>
                <w:szCs w:val="20"/>
              </w:rPr>
              <w:t xml:space="preserve">Material cost: $2.8M–$5.6M/yr</w:t>
            </w:r>
          </w:p>
          <w:p>
            <w:pPr>
              <w:spacing w:after="40" w:before="0" w:line="260"/>
              <w:jc w:val="left"/>
            </w:pPr>
            <w:r>
              <w:rPr>
                <w:rFonts w:ascii="Arial" w:cs="Arial" w:eastAsia="Arial" w:hAnsi="Arial"/>
                <w:color w:val="2C2C30"/>
                <w:sz w:val="19"/>
                <w:szCs w:val="19"/>
              </w:rPr>
              <w:t xml:space="preserve">No volume discount — spot buyer pricing across all systems</w:t>
            </w:r>
          </w:p>
          <w:p>
            <w:pPr>
              <w:spacing w:after="40" w:before="0" w:line="260"/>
              <w:jc w:val="left"/>
            </w:pPr>
            <w:r>
              <w:rPr>
                <w:rFonts w:ascii="Arial" w:cs="Arial" w:eastAsia="Arial" w:hAnsi="Arial"/>
                <w:color w:val="2C2C30"/>
                <w:sz w:val="19"/>
                <w:szCs w:val="19"/>
              </w:rPr>
              <w:t xml:space="preserve">No supply security — queue position uncertain for every order</w:t>
            </w:r>
          </w:p>
          <w:p>
            <w:pPr>
              <w:spacing w:after="80" w:before="0" w:line="260"/>
              <w:jc w:val="left"/>
            </w:pPr>
            <w:r>
              <w:rPr>
                <w:rFonts w:ascii="Arial" w:cs="Arial" w:eastAsia="Arial" w:hAnsi="Arial"/>
                <w:color w:val="2C2C30"/>
                <w:sz w:val="19"/>
                <w:szCs w:val="19"/>
              </w:rPr>
              <w:t xml:space="preserve">No territorial advantage — any competitor bids against same pricing</w:t>
            </w:r>
          </w:p>
        </w:tc>
        <w:tc>
          <w:tcPr>
            <w:tcW w:type="dxa" w:w="5040"/>
            <w:tcBorders>
              <w:top w:val="single" w:color="CCCCCC" w:sz="1"/>
              <w:left w:val="single" w:color="CCCCCC" w:sz="1"/>
              <w:bottom w:val="single" w:color="CCCCCC" w:sz="1"/>
              <w:right w:val="single" w:color="CCCCCC" w:sz="1"/>
            </w:tcBorders>
            <w:shd w:fill="EDF4E1" w:val="clear"/>
            <w:tcMar>
              <w:top w:type="dxa" w:w="100"/>
              <w:left w:type="dxa" w:w="140"/>
              <w:bottom w:type="dxa" w:w="100"/>
              <w:right w:type="dxa" w:w="140"/>
            </w:tcMar>
            <w:vAlign w:val="top"/>
          </w:tcPr>
          <w:p>
            <w:pPr>
              <w:spacing w:after="40" w:before="60"/>
              <w:jc w:val="left"/>
            </w:pPr>
            <w:r>
              <w:rPr>
                <w:rFonts w:ascii="Arial" w:cs="Arial" w:eastAsia="Arial" w:hAnsi="Arial"/>
                <w:b/>
                <w:bCs/>
                <w:color w:val="3A5A1C"/>
                <w:sz w:val="20"/>
                <w:szCs w:val="20"/>
              </w:rPr>
              <w:t xml:space="preserve">Material cost: $2.2M–$4.4M/yr</w:t>
            </w:r>
          </w:p>
          <w:p>
            <w:pPr>
              <w:spacing w:after="40" w:before="0" w:line="260"/>
              <w:jc w:val="left"/>
            </w:pPr>
            <w:r>
              <w:rPr>
                <w:rFonts w:ascii="Arial" w:cs="Arial" w:eastAsia="Arial" w:hAnsi="Arial"/>
                <w:color w:val="2C2C30"/>
                <w:sz w:val="19"/>
                <w:szCs w:val="19"/>
              </w:rPr>
              <w:t xml:space="preserve">12–22% blended cost reduction via committed volume + direct OEM agreements</w:t>
            </w:r>
          </w:p>
          <w:p>
            <w:pPr>
              <w:spacing w:after="40" w:before="0" w:line="260"/>
              <w:jc w:val="left"/>
            </w:pPr>
            <w:r>
              <w:rPr>
                <w:rFonts w:ascii="Arial" w:cs="Arial" w:eastAsia="Arial" w:hAnsi="Arial"/>
                <w:color w:val="2C2C30"/>
                <w:sz w:val="19"/>
                <w:szCs w:val="19"/>
              </w:rPr>
              <w:t xml:space="preserve">Dedicated supply allocation — fabrication queue priority for all systems</w:t>
            </w:r>
          </w:p>
          <w:p>
            <w:pPr>
              <w:spacing w:after="80" w:before="0" w:line="260"/>
              <w:jc w:val="left"/>
            </w:pPr>
            <w:r>
              <w:rPr>
                <w:rFonts w:ascii="Arial" w:cs="Arial" w:eastAsia="Arial" w:hAnsi="Arial"/>
                <w:color w:val="2C2C30"/>
                <w:sz w:val="19"/>
                <w:szCs w:val="19"/>
              </w:rPr>
              <w:t xml:space="preserve">Regional exclusivity potential for DE/PA/NJ/MD territory with key suppliers</w:t>
            </w:r>
          </w:p>
        </w:tc>
      </w:tr>
      <w:tr>
        <w:tc>
          <w:tcPr>
            <w:tcW w:type="dxa" w:w="504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80" w:before="80"/>
              <w:jc w:val="left"/>
            </w:pPr>
            <w:r>
              <w:rPr>
                <w:rFonts w:ascii="Arial" w:cs="Arial" w:eastAsia="Arial" w:hAnsi="Arial"/>
                <w:b/>
                <w:bCs/>
                <w:color w:val="B91C1C"/>
                <w:sz w:val="20"/>
                <w:szCs w:val="20"/>
              </w:rPr>
              <w:t xml:space="preserve">Gross Margin at Market: 25–28%</w:t>
            </w:r>
          </w:p>
        </w:tc>
        <w:tc>
          <w:tcPr>
            <w:tcW w:type="dxa" w:w="5040"/>
            <w:tcBorders>
              <w:top w:val="single" w:color="CCCCCC" w:sz="1"/>
              <w:left w:val="single" w:color="CCCCCC" w:sz="1"/>
              <w:bottom w:val="single" w:color="CCCCCC" w:sz="1"/>
              <w:right w:val="single" w:color="CCCCCC" w:sz="1"/>
            </w:tcBorders>
            <w:shd w:fill="EDF4E1" w:val="clear"/>
            <w:tcMar>
              <w:top w:type="dxa" w:w="100"/>
              <w:left w:type="dxa" w:w="140"/>
              <w:bottom w:type="dxa" w:w="100"/>
              <w:right w:type="dxa" w:w="140"/>
            </w:tcMar>
            <w:vAlign w:val="top"/>
          </w:tcPr>
          <w:p>
            <w:pPr>
              <w:spacing w:after="80" w:before="80"/>
              <w:jc w:val="left"/>
            </w:pPr>
            <w:r>
              <w:rPr>
                <w:rFonts w:ascii="Arial" w:cs="Arial" w:eastAsia="Arial" w:hAnsi="Arial"/>
                <w:b/>
                <w:bCs/>
                <w:color w:val="3A5A1C"/>
                <w:sz w:val="20"/>
                <w:szCs w:val="20"/>
              </w:rPr>
              <w:t xml:space="preserve">Gross Margin with Agreements: 35–42%</w:t>
            </w:r>
          </w:p>
        </w:tc>
      </w:tr>
    </w:tbl>
    <w:p>
      <w:pPr>
        <w:spacing w:after="120" w:before="0"/>
        <w:jc w:val="left"/>
      </w:pPr>
      <w:r>
        <w:rPr>
          <w:rFonts w:ascii="Arial" w:cs="Arial" w:eastAsia="Arial" w:hAnsi="Arial"/>
          <w:color w:val="2C2C30"/>
          <w:sz w:val="22"/>
          <w:szCs w:val="22"/>
        </w:rPr>
        <w:t xml:space="preserve"/>
      </w:r>
    </w:p>
    <w:p>
      <w:pPr>
        <w:spacing w:after="100" w:before="0"/>
        <w:jc w:val="left"/>
      </w:pPr>
      <w:r>
        <w:rPr>
          <w:rFonts w:ascii="Arial" w:cs="Arial" w:eastAsia="Arial" w:hAnsi="Arial"/>
          <w:color w:val="2C2C3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8"/>
                <w:szCs w:val="18"/>
              </w:rPr>
              <w:t xml:space="preserve">Section 4 — Campus Aggregate: What the Ground Lease Unlocks Total</w:t>
            </w:r>
          </w:p>
        </w:tc>
      </w:tr>
    </w:tbl>
    <w:p>
      <w:pPr>
        <w:spacing w:after="80" w:before="0"/>
        <w:jc w:val="left"/>
      </w:pPr>
      <w:r>
        <w:rPr>
          <w:rFonts w:ascii="Arial" w:cs="Arial" w:eastAsia="Arial" w:hAnsi="Arial"/>
          <w:color w:val="2C2C30"/>
          <w:sz w:val="22"/>
          <w:szCs w:val="22"/>
        </w:rPr>
        <w:t xml:space="preserve"/>
      </w:r>
    </w:p>
    <w:p>
      <w:pPr>
        <w:pStyle w:val="Heading1"/>
        <w:pBdr>
          <w:left w:val="single" w:color="C89C2A" w:sz="18" w:space="6"/>
        </w:pBdr>
        <w:spacing w:after="120" w:before="240"/>
        <w:ind w:left="160"/>
      </w:pPr>
      <w:r>
        <w:rPr>
          <w:rFonts w:ascii="Arial" w:cs="Arial" w:eastAsia="Arial" w:hAnsi="Arial"/>
          <w:b/>
          <w:bCs/>
          <w:color w:val="0A2342"/>
          <w:sz w:val="28"/>
          <w:szCs w:val="28"/>
        </w:rPr>
        <w:t xml:space="preserve">One Instrument. Three Revenue Streams. One City Conversation.</w:t>
      </w:r>
    </w:p>
    <w:p>
      <w:pPr>
        <w:spacing w:after="120" w:before="60" w:line="288"/>
        <w:jc w:val="left"/>
      </w:pPr>
      <w:r>
        <w:rPr>
          <w:rFonts w:ascii="Arial" w:cs="Arial" w:eastAsia="Arial" w:hAnsi="Arial"/>
          <w:color w:val="2C2C30"/>
          <w:sz w:val="22"/>
          <w:szCs w:val="22"/>
        </w:rPr>
        <w:t xml:space="preserve">The Wilmington ground lease is a single negotiation with Sean Park / City of Wilmington OED that simultaneously activates all three revenue streams. The City's cost: nominal ground rent received plus the administrative overhead of one master development agreement. The City's benefit: 65–120 permanent jobs, brownfield activation, Opportunity Zone investment, and tax ratables on a peninsula that currently generates almost nothing.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880"/>
        <w:gridCol w:w="2000"/>
        <w:gridCol w:w="1400"/>
      </w:tblGrid>
      <w:tr>
        <w:trPr>
          <w:tblHeader/>
        </w:trPr>
        <w:tc>
          <w:tcPr>
            <w:tcW w:type="dxa" w:w="28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Component</w:t>
            </w:r>
          </w:p>
        </w:tc>
        <w:tc>
          <w:tcPr>
            <w:tcW w:type="dxa" w:w="388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Description</w:t>
            </w:r>
          </w:p>
        </w:tc>
        <w:tc>
          <w:tcPr>
            <w:tcW w:type="dxa" w:w="20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ROM Amount</w:t>
            </w:r>
          </w:p>
        </w:tc>
        <w:tc>
          <w:tcPr>
            <w:tcW w:type="dxa" w:w="14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Timing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Merge4Ward Manufacturing NOI</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Panel fabrication revenue minus material cost (with supply agreements) minus operating costs. Year 3 steady state.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$1.2M–$1.6M/yr</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Year 2–3</w:t>
            </w:r>
          </w:p>
        </w:tc>
      </w:tr>
      <w:tr>
        <w:tc>
          <w:tcPr>
            <w:tcW w:type="dxa" w:w="28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M4CleanTech DE Ground Lease Spread</w:t>
            </w:r>
          </w:p>
        </w:tc>
        <w:tc>
          <w:tcPr>
            <w:tcW w:type="dxa" w:w="388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BOO sublease spread after paying nominal City rent. Cash flows from Day 1 of Klean/KBR operations.</w:t>
            </w:r>
          </w:p>
        </w:tc>
        <w:tc>
          <w:tcPr>
            <w:tcW w:type="dxa" w:w="20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$45K–$119K/yr</w:t>
            </w:r>
          </w:p>
        </w:tc>
        <w:tc>
          <w:tcPr>
            <w:tcW w:type="dxa" w:w="14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Year 1 ops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Procurement Margin Enhancement</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Blended material cost savings flowing to Merge4Ward gross margin. Not shown as separate P&amp;L line — embedded in manufacturing NOI above.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b/>
                <w:bCs/>
                <w:color w:val="1A5C6B"/>
                <w:sz w:val="19"/>
                <w:szCs w:val="19"/>
              </w:rPr>
              <w:t xml:space="preserve">$600K–$1.2M/yr</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Recurring</w:t>
            </w:r>
          </w:p>
        </w:tc>
      </w:tr>
      <w:tr>
        <w:tc>
          <w:tcPr>
            <w:tcW w:type="dxa" w:w="28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M4CleanTech Developer Fee (one-time)</w:t>
            </w:r>
          </w:p>
        </w:tc>
        <w:tc>
          <w:tcPr>
            <w:tcW w:type="dxa" w:w="388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PSA fee from Klean/KBR for DE site development services, recoverable at BOO financial close.</w:t>
            </w:r>
          </w:p>
        </w:tc>
        <w:tc>
          <w:tcPr>
            <w:tcW w:type="dxa" w:w="20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$360K–$600K</w:t>
            </w:r>
          </w:p>
        </w:tc>
        <w:tc>
          <w:tcPr>
            <w:tcW w:type="dxa" w:w="14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One-time</w:t>
            </w:r>
          </w:p>
        </w:tc>
      </w:tr>
      <w:tr>
        <w:tc>
          <w:tcPr>
            <w:tcW w:type="dxa" w:w="2800"/>
            <w:tcBorders>
              <w:top w:val="single" w:color="CCCCCC" w:sz="1"/>
              <w:left w:val="single" w:color="CCCCCC" w:sz="1"/>
              <w:bottom w:val="single" w:color="CCCCCC" w:sz="1"/>
              <w:right w:val="single" w:color="CCCCCC" w:sz="1"/>
            </w:tcBorders>
            <w:shd w:fill="E8EEF6" w:val="clear"/>
            <w:tcMar>
              <w:top w:type="dxa" w:w="100"/>
              <w:left w:type="dxa" w:w="140"/>
              <w:bottom w:type="dxa" w:w="100"/>
              <w:right w:type="dxa" w:w="140"/>
            </w:tcMar>
            <w:vAlign w:val="top"/>
          </w:tcPr>
          <w:p>
            <w:pPr>
              <w:spacing w:after="60" w:before="60" w:line="260"/>
              <w:jc w:val="left"/>
            </w:pPr>
            <w:r>
              <w:rPr>
                <w:rFonts w:ascii="Arial" w:cs="Arial" w:eastAsia="Arial" w:hAnsi="Arial"/>
                <w:b/>
                <w:bCs/>
                <w:color w:val="2C2C30"/>
                <w:sz w:val="19"/>
                <w:szCs w:val="19"/>
              </w:rPr>
              <w:t xml:space="preserve">CAMPUS TOTAL — Steady State</w:t>
            </w:r>
          </w:p>
        </w:tc>
        <w:tc>
          <w:tcPr>
            <w:tcW w:type="dxa" w:w="3880"/>
            <w:tcBorders>
              <w:top w:val="single" w:color="CCCCCC" w:sz="1"/>
              <w:left w:val="single" w:color="CCCCCC" w:sz="1"/>
              <w:bottom w:val="single" w:color="CCCCCC" w:sz="1"/>
              <w:right w:val="single" w:color="CCCCCC" w:sz="1"/>
            </w:tcBorders>
            <w:shd w:fill="E8EEF6" w:val="clear"/>
            <w:tcMar>
              <w:top w:type="dxa" w:w="100"/>
              <w:left w:type="dxa" w:w="140"/>
              <w:bottom w:type="dxa" w:w="100"/>
              <w:right w:type="dxa" w:w="140"/>
            </w:tcMar>
            <w:vAlign w:val="top"/>
          </w:tcPr>
          <w:p>
            <w:pPr>
              <w:spacing w:after="60" w:before="60" w:line="260"/>
              <w:jc w:val="left"/>
            </w:pPr>
            <w:r>
              <w:rPr>
                <w:rFonts w:ascii="Arial" w:cs="Arial" w:eastAsia="Arial" w:hAnsi="Arial"/>
                <w:b/>
                <w:bCs/>
                <w:color w:val="2C2C30"/>
                <w:sz w:val="19"/>
                <w:szCs w:val="19"/>
              </w:rPr>
              <w:t xml:space="preserve">Annual recurring revenue streams from all three campus components. Developer fee excluded (one-time).</w:t>
            </w:r>
          </w:p>
        </w:tc>
        <w:tc>
          <w:tcPr>
            <w:tcW w:type="dxa" w:w="2000"/>
            <w:tcBorders>
              <w:top w:val="single" w:color="CCCCCC" w:sz="1"/>
              <w:left w:val="single" w:color="CCCCCC" w:sz="1"/>
              <w:bottom w:val="single" w:color="CCCCCC" w:sz="1"/>
              <w:right w:val="single" w:color="CCCCCC" w:sz="1"/>
            </w:tcBorders>
            <w:shd w:fill="E8EEF6"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$1.25M–$1.72M/yr</w:t>
            </w:r>
          </w:p>
        </w:tc>
        <w:tc>
          <w:tcPr>
            <w:tcW w:type="dxa" w:w="1400"/>
            <w:tcBorders>
              <w:top w:val="single" w:color="CCCCCC" w:sz="1"/>
              <w:left w:val="single" w:color="CCCCCC" w:sz="1"/>
              <w:bottom w:val="single" w:color="CCCCCC" w:sz="1"/>
              <w:right w:val="single" w:color="CCCCCC" w:sz="1"/>
            </w:tcBorders>
            <w:shd w:fill="E8EEF6"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Year 2–3+</w:t>
            </w:r>
          </w:p>
        </w:tc>
      </w:tr>
      <w:tr>
        <w:tc>
          <w:tcPr>
            <w:tcW w:type="dxa" w:w="28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1A5C6B"/>
                <w:sz w:val="19"/>
                <w:szCs w:val="19"/>
              </w:rPr>
              <w:t xml:space="preserve">City of Wilmington OZ + Brownfields Capital</w:t>
            </w:r>
          </w:p>
        </w:tc>
        <w:tc>
          <w:tcPr>
            <w:tcW w:type="dxa" w:w="388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1A5C6B"/>
                <w:sz w:val="19"/>
                <w:szCs w:val="19"/>
              </w:rPr>
              <w:t xml:space="preserve">Opportunity Zone equity deferral + EPA Brownfields Assessment/Cleanup grants + DEDO manufacturing incentives. Non-dilutive capital reducing facility build cost.</w:t>
            </w:r>
          </w:p>
        </w:tc>
        <w:tc>
          <w:tcPr>
            <w:tcW w:type="dxa" w:w="20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b/>
                <w:bCs/>
                <w:color w:val="1A5C6B"/>
                <w:sz w:val="19"/>
                <w:szCs w:val="19"/>
              </w:rPr>
              <w:t xml:space="preserve">$1.5M–$4.5M</w:t>
            </w:r>
          </w:p>
        </w:tc>
        <w:tc>
          <w:tcPr>
            <w:tcW w:type="dxa" w:w="14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One-time grants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3A5A1C"/>
                <w:sz w:val="19"/>
                <w:szCs w:val="19"/>
              </w:rPr>
              <w:t xml:space="preserve">Permanent Jobs Created — Campus Total</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Merge4Ward: 40–80 manufacturing FTE. M4CleanTech DE: 25–40 operations FTE.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65–120 jobs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Year 2–4</w:t>
            </w:r>
          </w:p>
        </w:tc>
      </w:tr>
    </w:tbl>
    <w:p>
      <w:pPr>
        <w:spacing w:after="80" w:before="0"/>
        <w:jc w:val="left"/>
      </w:pPr>
      <w:r>
        <w:rPr>
          <w:rFonts w:ascii="Arial" w:cs="Arial" w:eastAsia="Arial" w:hAnsi="Arial"/>
          <w:color w:val="2C2C30"/>
          <w:sz w:val="22"/>
          <w:szCs w:val="22"/>
        </w:rPr>
        <w:t xml:space="preserve"/>
      </w:r>
    </w:p>
    <w:p>
      <w:pPr>
        <w:spacing w:after="120" w:before="0"/>
        <w:jc w:val="left"/>
      </w:pPr>
      <w:r>
        <w:rPr>
          <w:rFonts w:ascii="Arial" w:cs="Arial" w:eastAsia="Arial" w:hAnsi="Arial"/>
          <w:i/>
          <w:iCs/>
          <w:color w:val="6B6B72"/>
          <w:sz w:val="17"/>
          <w:szCs w:val="17"/>
        </w:rPr>
        <w:t xml:space="preserve">ROM figures ±30–40% confidence. Manufacturing NOI includes procurement savings already embedded in the margin calculation. Procurement savings ROM based on published CLT/SIP/AAC manufacturer volume discount schedules and regional freight benchmarks. Actual results depend on negotiated supplier agreement terms and annual committed volumes.</w:t>
      </w:r>
    </w:p>
    <w:p>
      <w:pPr>
        <w:spacing w:after="100" w:before="0"/>
        <w:jc w:val="left"/>
      </w:pPr>
      <w:r>
        <w:rPr>
          <w:rFonts w:ascii="Arial" w:cs="Arial" w:eastAsia="Arial" w:hAnsi="Arial"/>
          <w:color w:val="2C2C3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8"/>
                <w:szCs w:val="18"/>
              </w:rPr>
              <w:t xml:space="preserve">Section 5 — Finance Stack: How the Campus Gets Built</w:t>
            </w:r>
          </w:p>
        </w:tc>
      </w:tr>
    </w:tbl>
    <w:p>
      <w:pPr>
        <w:spacing w:after="80" w:before="0"/>
        <w:jc w:val="left"/>
      </w:pPr>
      <w:r>
        <w:rPr>
          <w:rFonts w:ascii="Arial" w:cs="Arial" w:eastAsia="Arial" w:hAnsi="Arial"/>
          <w:color w:val="2C2C30"/>
          <w:sz w:val="22"/>
          <w:szCs w:val="22"/>
        </w:rPr>
        <w:t xml:space="preserve"/>
      </w:r>
    </w:p>
    <w:p>
      <w:pPr>
        <w:pStyle w:val="Heading1"/>
        <w:pBdr>
          <w:left w:val="single" w:color="C89C2A" w:sz="18" w:space="6"/>
        </w:pBdr>
        <w:spacing w:after="120" w:before="240"/>
        <w:ind w:left="160"/>
      </w:pPr>
      <w:r>
        <w:rPr>
          <w:rFonts w:ascii="Arial" w:cs="Arial" w:eastAsia="Arial" w:hAnsi="Arial"/>
          <w:b/>
          <w:bCs/>
          <w:color w:val="0A2342"/>
          <w:sz w:val="28"/>
          <w:szCs w:val="28"/>
        </w:rPr>
        <w:t xml:space="preserve">Grant-Heavy, Low-Equity, Ground-Lease-Anchored</w:t>
      </w:r>
    </w:p>
    <w:p>
      <w:pPr>
        <w:spacing w:after="120" w:before="60" w:line="288"/>
        <w:jc w:val="left"/>
      </w:pPr>
      <w:r>
        <w:rPr>
          <w:rFonts w:ascii="Arial" w:cs="Arial" w:eastAsia="Arial" w:hAnsi="Arial"/>
          <w:color w:val="2C2C30"/>
          <w:sz w:val="22"/>
          <w:szCs w:val="22"/>
        </w:rPr>
        <w:t xml:space="preserve">The Wilmington Campus financing strategy mirrors the Chester structure: outside capital does the heavy lifting, the ground lease eliminates acquisition cost, and M4CleanTech's BOO structure means Klean/KBR funds the clean tech facility entirely. Merge4Ward's manufacturing facility is the primary capital requirement — and that facility is the most grant-eligible manufacturing project in Delaware given its EJ location, job creation profile, and advanced manufacturing classification.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880"/>
        <w:gridCol w:w="1400"/>
        <w:gridCol w:w="1200"/>
      </w:tblGrid>
      <w:tr>
        <w:trPr>
          <w:tblHeader/>
        </w:trPr>
        <w:tc>
          <w:tcPr>
            <w:tcW w:type="dxa" w:w="24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Tranche</w:t>
            </w:r>
          </w:p>
        </w:tc>
        <w:tc>
          <w:tcPr>
            <w:tcW w:type="dxa" w:w="32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Source &amp; Rationale</w:t>
            </w:r>
          </w:p>
        </w:tc>
        <w:tc>
          <w:tcPr>
            <w:tcW w:type="dxa" w:w="188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ROM Amount</w:t>
            </w:r>
          </w:p>
        </w:tc>
        <w:tc>
          <w:tcPr>
            <w:tcW w:type="dxa" w:w="14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Cost</w:t>
            </w:r>
          </w:p>
        </w:tc>
        <w:tc>
          <w:tcPr>
            <w:tcW w:type="dxa" w:w="12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Structure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EPA Brownfields Assessment + Cleanup</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Peninsula has documented brownfield history. EPA grants fund Phase I/II ESA + remediation. EJ community overlay strengthens application.</w:t>
            </w:r>
          </w:p>
        </w:tc>
        <w:tc>
          <w:tcPr>
            <w:tcW w:type="dxa" w:w="1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$500K–$1.5M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0% grant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Non-dilutive, non-recourse</w:t>
            </w:r>
          </w:p>
        </w:tc>
      </w:tr>
      <w:tr>
        <w:tc>
          <w:tcPr>
            <w:tcW w:type="dxa" w:w="24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DEDO — Delaware Economic Development</w:t>
            </w:r>
          </w:p>
        </w:tc>
        <w:tc>
          <w:tcPr>
            <w:tcW w:type="dxa" w:w="32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DEDO Strategic Fund + Brownfield Assistance Program. Manufacturing job creation in Wilmington is core DEDO mandate. Sean Park / OED are the introduction pathway.</w:t>
            </w:r>
          </w:p>
        </w:tc>
        <w:tc>
          <w:tcPr>
            <w:tcW w:type="dxa" w:w="188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$500K–$2M</w:t>
            </w:r>
          </w:p>
        </w:tc>
        <w:tc>
          <w:tcPr>
            <w:tcW w:type="dxa" w:w="14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0% grant</w:t>
            </w:r>
          </w:p>
        </w:tc>
        <w:tc>
          <w:tcPr>
            <w:tcW w:type="dxa" w:w="12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Non-dilutive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EDA Economic Adjustment Assistance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Wilmington qualifies as economically distressed community. Manufacturing job creation + site remediation are EAA-eligible. Chester PA application establishes track record.</w:t>
            </w:r>
          </w:p>
        </w:tc>
        <w:tc>
          <w:tcPr>
            <w:tcW w:type="dxa" w:w="1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$1M–$3M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0% grant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Non-dilutive</w:t>
            </w:r>
          </w:p>
        </w:tc>
      </w:tr>
      <w:tr>
        <w:tc>
          <w:tcPr>
            <w:tcW w:type="dxa" w:w="24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Opportunity Zone Equity</w:t>
            </w:r>
          </w:p>
        </w:tc>
        <w:tc>
          <w:tcPr>
            <w:tcW w:type="dxa" w:w="32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Peninsula parcels likely within Wilmington OZ boundary. OZ equity investors defer capital gains tax. Attracts private equity co-investors alongside grant stack.</w:t>
            </w:r>
          </w:p>
        </w:tc>
        <w:tc>
          <w:tcPr>
            <w:tcW w:type="dxa" w:w="188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$1M–$3M</w:t>
            </w:r>
          </w:p>
        </w:tc>
        <w:tc>
          <w:tcPr>
            <w:tcW w:type="dxa" w:w="14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OZ equity</w:t>
            </w:r>
          </w:p>
        </w:tc>
        <w:tc>
          <w:tcPr>
            <w:tcW w:type="dxa" w:w="12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Potential dilution — structure carefully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CDFI Equipment / Construction Loan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Reinvestment Fund, Artisans' Bank (DE-based), or NCALL Research. Manufacturing facility + equipment note at below-market rate. Ground lease as collateral support.</w:t>
            </w:r>
          </w:p>
        </w:tc>
        <w:tc>
          <w:tcPr>
            <w:tcW w:type="dxa" w:w="1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$2M–$4M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4–6%</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15–20 yr term</w:t>
            </w:r>
          </w:p>
        </w:tc>
      </w:tr>
      <w:tr>
        <w:tc>
          <w:tcPr>
            <w:tcW w:type="dxa" w:w="24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Supplier Vendor Financing</w:t>
            </w:r>
          </w:p>
        </w:tc>
        <w:tc>
          <w:tcPr>
            <w:tcW w:type="dxa" w:w="32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CLT manufacturers (TerraLam, Structurlam, Mercer) sometimes carry equipment/inventory notes on anchor customer relationships. Part of the supply agreement negotiation.</w:t>
            </w:r>
          </w:p>
        </w:tc>
        <w:tc>
          <w:tcPr>
            <w:tcW w:type="dxa" w:w="188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$500K–$1.5M</w:t>
            </w:r>
          </w:p>
        </w:tc>
        <w:tc>
          <w:tcPr>
            <w:tcW w:type="dxa" w:w="14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Negotiated</w:t>
            </w:r>
          </w:p>
        </w:tc>
        <w:tc>
          <w:tcPr>
            <w:tcW w:type="dxa" w:w="12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Secured on equipment/inventory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M4D / Merge4Ward Equity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Principals' contribution. Minimized by grant stack. Ground lease eliminates land acquisition capital. Target: under $500K personal exposure.</w:t>
            </w:r>
          </w:p>
        </w:tc>
        <w:tc>
          <w:tcPr>
            <w:tcW w:type="dxa" w:w="1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$250K–$500K</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From operating cash flow if possible</w:t>
            </w:r>
          </w:p>
        </w:tc>
      </w:tr>
      <w:tr>
        <w:tc>
          <w:tcPr>
            <w:tcW w:type="dxa" w:w="24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1A5C6B"/>
                <w:sz w:val="19"/>
                <w:szCs w:val="19"/>
              </w:rPr>
              <w:t xml:space="preserve">M4CleanTech DE BOO (Klean/KBR)</w:t>
            </w:r>
          </w:p>
        </w:tc>
        <w:tc>
          <w:tcPr>
            <w:tcW w:type="dxa" w:w="32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1A5C6B"/>
                <w:sz w:val="19"/>
                <w:szCs w:val="19"/>
              </w:rPr>
              <w:t xml:space="preserve">Klean/KBR funds, owns, and operates the TyreNova facility on the southern tip parcel under BOO sublease from M4CleanTech. Zero capital requirement from Merge4Ward or M4D for the clean tech facility.</w:t>
            </w:r>
          </w:p>
        </w:tc>
        <w:tc>
          <w:tcPr>
            <w:tcW w:type="dxa" w:w="188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b/>
                <w:bCs/>
                <w:color w:val="1A5C6B"/>
                <w:sz w:val="19"/>
                <w:szCs w:val="19"/>
              </w:rPr>
              <w:t xml:space="preserve">$8M–$15M (operator-funded)</w:t>
            </w:r>
          </w:p>
        </w:tc>
        <w:tc>
          <w:tcPr>
            <w:tcW w:type="dxa" w:w="14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1A5C6B"/>
                <w:sz w:val="19"/>
                <w:szCs w:val="19"/>
              </w:rPr>
              <w:t xml:space="preserve">BOO operator</w:t>
            </w:r>
          </w:p>
        </w:tc>
        <w:tc>
          <w:tcPr>
            <w:tcW w:type="dxa" w:w="12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1A5C6B"/>
                <w:sz w:val="19"/>
                <w:szCs w:val="19"/>
              </w:rPr>
              <w:t xml:space="preserve">No M4D capital required</w:t>
            </w:r>
          </w:p>
        </w:tc>
      </w:tr>
      <w:tr>
        <w:tc>
          <w:tcPr>
            <w:tcW w:type="dxa" w:w="2400"/>
            <w:tcBorders>
              <w:top w:val="single" w:color="CCCCCC" w:sz="1"/>
              <w:left w:val="single" w:color="CCCCCC" w:sz="1"/>
              <w:bottom w:val="single" w:color="CCCCCC" w:sz="1"/>
              <w:right w:val="single" w:color="CCCCCC" w:sz="1"/>
            </w:tcBorders>
            <w:shd w:fill="E8EEF6" w:val="clear"/>
            <w:tcMar>
              <w:top w:type="dxa" w:w="100"/>
              <w:left w:type="dxa" w:w="140"/>
              <w:bottom w:type="dxa" w:w="100"/>
              <w:right w:type="dxa" w:w="140"/>
            </w:tcMar>
            <w:vAlign w:val="top"/>
          </w:tcPr>
          <w:p>
            <w:pPr>
              <w:spacing w:after="60" w:before="60" w:line="260"/>
              <w:jc w:val="left"/>
            </w:pPr>
            <w:r>
              <w:rPr>
                <w:rFonts w:ascii="Arial" w:cs="Arial" w:eastAsia="Arial" w:hAnsi="Arial"/>
                <w:b/>
                <w:bCs/>
                <w:color w:val="2C2C30"/>
                <w:sz w:val="19"/>
                <w:szCs w:val="19"/>
              </w:rPr>
              <w:t xml:space="preserve">TOTAL CAMPUS — All Sources</w:t>
            </w:r>
          </w:p>
        </w:tc>
        <w:tc>
          <w:tcPr>
            <w:tcW w:type="dxa" w:w="3200"/>
            <w:tcBorders>
              <w:top w:val="single" w:color="CCCCCC" w:sz="1"/>
              <w:left w:val="single" w:color="CCCCCC" w:sz="1"/>
              <w:bottom w:val="single" w:color="CCCCCC" w:sz="1"/>
              <w:right w:val="single" w:color="CCCCCC" w:sz="1"/>
            </w:tcBorders>
            <w:shd w:fill="E8EEF6" w:val="clear"/>
            <w:tcMar>
              <w:top w:type="dxa" w:w="100"/>
              <w:left w:type="dxa" w:w="140"/>
              <w:bottom w:type="dxa" w:w="100"/>
              <w:right w:type="dxa" w:w="140"/>
            </w:tcMar>
            <w:vAlign w:val="top"/>
          </w:tcPr>
          <w:p>
            <w:pPr>
              <w:spacing w:after="60" w:before="60" w:line="260"/>
              <w:jc w:val="left"/>
            </w:pPr>
            <w:r>
              <w:rPr>
                <w:rFonts w:ascii="Arial" w:cs="Arial" w:eastAsia="Arial" w:hAnsi="Arial"/>
                <w:b/>
                <w:bCs/>
                <w:color w:val="2C2C30"/>
                <w:sz w:val="19"/>
                <w:szCs w:val="19"/>
              </w:rPr>
              <w:t xml:space="preserve">Manufacturing facility + clean tech BOO combined. M4CleanTech DE funded 100% by Klean/KBR.</w:t>
            </w:r>
          </w:p>
        </w:tc>
        <w:tc>
          <w:tcPr>
            <w:tcW w:type="dxa" w:w="1880"/>
            <w:tcBorders>
              <w:top w:val="single" w:color="CCCCCC" w:sz="1"/>
              <w:left w:val="single" w:color="CCCCCC" w:sz="1"/>
              <w:bottom w:val="single" w:color="CCCCCC" w:sz="1"/>
              <w:right w:val="single" w:color="CCCCCC" w:sz="1"/>
            </w:tcBorders>
            <w:shd w:fill="E8EEF6"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$13.75M–$30.5M</w:t>
            </w:r>
          </w:p>
        </w:tc>
        <w:tc>
          <w:tcPr>
            <w:tcW w:type="dxa" w:w="1400"/>
            <w:tcBorders>
              <w:top w:val="single" w:color="CCCCCC" w:sz="1"/>
              <w:left w:val="single" w:color="CCCCCC" w:sz="1"/>
              <w:bottom w:val="single" w:color="CCCCCC" w:sz="1"/>
              <w:right w:val="single" w:color="CCCCCC" w:sz="1"/>
            </w:tcBorders>
            <w:shd w:fill="E8EEF6"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Blended ~2–4%</w:t>
            </w:r>
          </w:p>
        </w:tc>
        <w:tc>
          <w:tcPr>
            <w:tcW w:type="dxa" w:w="1200"/>
            <w:tcBorders>
              <w:top w:val="single" w:color="CCCCCC" w:sz="1"/>
              <w:left w:val="single" w:color="CCCCCC" w:sz="1"/>
              <w:bottom w:val="single" w:color="CCCCCC" w:sz="1"/>
              <w:right w:val="single" w:color="CCCCCC" w:sz="1"/>
            </w:tcBorders>
            <w:shd w:fill="E8EEF6"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M4D exposure: &lt;$500K</w:t>
            </w:r>
          </w:p>
        </w:tc>
      </w:tr>
    </w:tbl>
    <w:p>
      <w:pPr>
        <w:spacing w:after="80" w:before="0"/>
        <w:jc w:val="left"/>
      </w:pPr>
      <w:r>
        <w:rPr>
          <w:rFonts w:ascii="Arial" w:cs="Arial" w:eastAsia="Arial" w:hAnsi="Arial"/>
          <w:color w:val="2C2C30"/>
          <w:sz w:val="22"/>
          <w:szCs w:val="22"/>
        </w:rPr>
        <w:t xml:space="preserve"/>
      </w:r>
    </w:p>
    <w:p>
      <w:pPr>
        <w:spacing w:after="120" w:before="0"/>
        <w:jc w:val="left"/>
      </w:pPr>
      <w:r>
        <w:rPr>
          <w:rFonts w:ascii="Arial" w:cs="Arial" w:eastAsia="Arial" w:hAnsi="Arial"/>
          <w:i/>
          <w:iCs/>
          <w:color w:val="6B6B72"/>
          <w:sz w:val="17"/>
          <w:szCs w:val="17"/>
        </w:rPr>
        <w:t xml:space="preserve">ROM ±30–40%. DEDO and EDA grant amounts depend on job creation commitments and competitive application quality. OZ equity requires fund formation or qualified investor identification — securities counsel required. CDFI loan availability depends on lender underwriting at time of application. Supplier vendor financing is subject to commercial negotiation.</w:t>
      </w:r>
    </w:p>
    <w:p>
      <w:pPr>
        <w:spacing w:after="100" w:before="0"/>
        <w:jc w:val="left"/>
      </w:pPr>
      <w:r>
        <w:rPr>
          <w:rFonts w:ascii="Arial" w:cs="Arial" w:eastAsia="Arial" w:hAnsi="Arial"/>
          <w:color w:val="2C2C3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8"/>
                <w:szCs w:val="18"/>
              </w:rPr>
              <w:t xml:space="preserve">Section 6 — Chester PA + Wilmington DE: The Two-Node Mid-Atlantic Strategy</w:t>
            </w:r>
          </w:p>
        </w:tc>
      </w:tr>
    </w:tbl>
    <w:p>
      <w:pPr>
        <w:spacing w:after="80" w:before="0"/>
        <w:jc w:val="left"/>
      </w:pPr>
      <w:r>
        <w:rPr>
          <w:rFonts w:ascii="Arial" w:cs="Arial" w:eastAsia="Arial" w:hAnsi="Arial"/>
          <w:color w:val="2C2C30"/>
          <w:sz w:val="22"/>
          <w:szCs w:val="22"/>
        </w:rPr>
        <w:t xml:space="preserve"/>
      </w:r>
    </w:p>
    <w:p>
      <w:pPr>
        <w:pStyle w:val="Heading1"/>
        <w:pBdr>
          <w:left w:val="single" w:color="C89C2A" w:sz="18" w:space="6"/>
        </w:pBdr>
        <w:spacing w:after="120" w:before="240"/>
        <w:ind w:left="160"/>
      </w:pPr>
      <w:r>
        <w:rPr>
          <w:rFonts w:ascii="Arial" w:cs="Arial" w:eastAsia="Arial" w:hAnsi="Arial"/>
          <w:b/>
          <w:bCs/>
          <w:color w:val="0A2342"/>
          <w:sz w:val="28"/>
          <w:szCs w:val="28"/>
        </w:rPr>
        <w:t xml:space="preserve">Running Both in Parallel Amplifies Each Deal</w:t>
      </w:r>
    </w:p>
    <w:p>
      <w:pPr>
        <w:spacing w:after="100" w:before="60" w:line="288"/>
        <w:jc w:val="left"/>
      </w:pPr>
      <w:r>
        <w:rPr>
          <w:rFonts w:ascii="Arial" w:cs="Arial" w:eastAsia="Arial" w:hAnsi="Arial"/>
          <w:color w:val="2C2C30"/>
          <w:sz w:val="22"/>
          <w:szCs w:val="22"/>
        </w:rPr>
        <w:t xml:space="preserve">Chester and Wilmington are not competing priorities — they are mutually reinforcing. Every step taken in Chester strengthens the Wilmington conversation, and vice versa. Trevor needs to present both to Mayor Roots and Sean Park as a coordinated regional strategy, not two separate asks.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4340"/>
        <w:gridCol w:w="4340"/>
      </w:tblGrid>
      <w:tr>
        <w:tc>
          <w:tcPr>
            <w:tcW w:type="dxa" w:w="14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0" w:before="0"/>
              <w:jc w:val="left"/>
            </w:pPr>
            <w:r>
              <w:rPr>
                <w:rFonts w:ascii="Arial" w:cs="Arial" w:eastAsia="Arial" w:hAnsi="Arial"/>
                <w:color w:val="2C2C30"/>
                <w:sz w:val="1"/>
                <w:szCs w:val="1"/>
              </w:rPr>
              <w:t xml:space="preserve"/>
            </w:r>
          </w:p>
        </w:tc>
        <w:tc>
          <w:tcPr>
            <w:tcW w:type="dxa" w:w="434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CHESTER PA (M4CleanTech + MaxWellness)</w:t>
            </w:r>
          </w:p>
        </w:tc>
        <w:tc>
          <w:tcPr>
            <w:tcW w:type="dxa" w:w="4340"/>
            <w:tcBorders>
              <w:top w:val="single" w:color="C89C2A" w:sz="1"/>
              <w:left w:val="single" w:color="C89C2A" w:sz="1"/>
              <w:bottom w:val="single" w:color="C89C2A" w:sz="1"/>
              <w:right w:val="single" w:color="C89C2A" w:sz="1"/>
            </w:tcBorders>
            <w:shd w:fill="C89C2A" w:val="clear"/>
            <w:tcMar>
              <w:top w:type="dxa" w:w="100"/>
              <w:left w:type="dxa" w:w="140"/>
              <w:bottom w:type="dxa" w:w="100"/>
              <w:right w:type="dxa" w:w="140"/>
            </w:tcMar>
            <w:vAlign w:val="top"/>
          </w:tcPr>
          <w:p>
            <w:pPr>
              <w:spacing w:after="80" w:before="80"/>
              <w:jc w:val="left"/>
            </w:pPr>
            <w:r>
              <w:rPr>
                <w:rFonts w:ascii="Arial" w:cs="Arial" w:eastAsia="Arial" w:hAnsi="Arial"/>
                <w:b/>
                <w:bCs/>
                <w:caps/>
                <w:color w:val="0A2342"/>
                <w:sz w:val="17"/>
                <w:szCs w:val="17"/>
              </w:rPr>
              <w:t xml:space="preserve">WILMINGTON DE (Merge4Ward + M4CleanTech)</w:t>
            </w:r>
          </w:p>
        </w:tc>
      </w:tr>
      <w:tr>
        <w:tc>
          <w:tcPr>
            <w:tcW w:type="dxa" w:w="14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jc w:val="left"/>
            </w:pPr>
            <w:r>
              <w:rPr>
                <w:rFonts w:ascii="Arial" w:cs="Arial" w:eastAsia="Arial" w:hAnsi="Arial"/>
                <w:b/>
                <w:bCs/>
                <w:color w:val="0A2342"/>
                <w:sz w:val="17"/>
                <w:szCs w:val="17"/>
              </w:rPr>
              <w:t xml:space="preserve">Primary Use</w:t>
            </w:r>
          </w:p>
        </w:tc>
        <w:tc>
          <w:tcPr>
            <w:tcW w:type="dxa" w:w="434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Klean/KBR BOO tire pyrolysis (Phase 1) + Ecolomondo owned facility (Phase 2) + MaxWellness Community Health Campus</w:t>
            </w:r>
          </w:p>
        </w:tc>
        <w:tc>
          <w:tcPr>
            <w:tcW w:type="dxa" w:w="434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Merge4Ward CLT/SIP panel manufacturing + Klean/KBR BOO tire pyrolysis (Phase 1 DE node)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0A2342"/>
                <w:sz w:val="17"/>
                <w:szCs w:val="17"/>
              </w:rPr>
              <w:t xml:space="preserve">Ground Lease From</w:t>
            </w:r>
          </w:p>
        </w:tc>
        <w:tc>
          <w:tcPr>
            <w:tcW w:type="dxa" w:w="4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City of Chester / DCIDA</w:t>
            </w:r>
          </w:p>
        </w:tc>
        <w:tc>
          <w:tcPr>
            <w:tcW w:type="dxa" w:w="4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City of Wilmington — Sean Park / OED</w:t>
            </w:r>
          </w:p>
        </w:tc>
      </w:tr>
      <w:tr>
        <w:tc>
          <w:tcPr>
            <w:tcW w:type="dxa" w:w="14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jc w:val="left"/>
            </w:pPr>
            <w:r>
              <w:rPr>
                <w:rFonts w:ascii="Arial" w:cs="Arial" w:eastAsia="Arial" w:hAnsi="Arial"/>
                <w:b/>
                <w:bCs/>
                <w:color w:val="0A2342"/>
                <w:sz w:val="17"/>
                <w:szCs w:val="17"/>
              </w:rPr>
              <w:t xml:space="preserve">Key Relationship</w:t>
            </w:r>
          </w:p>
        </w:tc>
        <w:tc>
          <w:tcPr>
            <w:tcW w:type="dxa" w:w="434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Mayor Stefan Roots + DCIDA</w:t>
            </w:r>
          </w:p>
        </w:tc>
        <w:tc>
          <w:tcPr>
            <w:tcW w:type="dxa" w:w="434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Sean Park (existing M4D relationship) + Mayor Purzycki</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0A2342"/>
                <w:sz w:val="17"/>
                <w:szCs w:val="17"/>
              </w:rPr>
              <w:t xml:space="preserve">EJ / Grant Angle</w:t>
            </w:r>
          </w:p>
        </w:tc>
        <w:tc>
          <w:tcPr>
            <w:tcW w:type="dxa" w:w="4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Chester documented EJ community — EPA, EDA, DOE, PHFA all unlocked</w:t>
            </w:r>
          </w:p>
        </w:tc>
        <w:tc>
          <w:tcPr>
            <w:tcW w:type="dxa" w:w="4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Wilmington EJ overlay + Opportunity Zone + DEDO manufacturing incentives</w:t>
            </w:r>
          </w:p>
        </w:tc>
      </w:tr>
      <w:tr>
        <w:tc>
          <w:tcPr>
            <w:tcW w:type="dxa" w:w="14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jc w:val="left"/>
            </w:pPr>
            <w:r>
              <w:rPr>
                <w:rFonts w:ascii="Arial" w:cs="Arial" w:eastAsia="Arial" w:hAnsi="Arial"/>
                <w:b/>
                <w:bCs/>
                <w:color w:val="0A2342"/>
                <w:sz w:val="17"/>
                <w:szCs w:val="17"/>
              </w:rPr>
              <w:t xml:space="preserve">M4D Revenue</w:t>
            </w:r>
          </w:p>
        </w:tc>
        <w:tc>
          <w:tcPr>
            <w:tcW w:type="dxa" w:w="434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M4CleanTech ground lease spread + developer fee + MaxWellness architecture fee</w:t>
            </w:r>
          </w:p>
        </w:tc>
        <w:tc>
          <w:tcPr>
            <w:tcW w:type="dxa" w:w="434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Merge4Ward manufacturing NOI + M4CleanTech DE ground lease spread + procurement savings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0A2342"/>
                <w:sz w:val="17"/>
                <w:szCs w:val="17"/>
              </w:rPr>
              <w:t xml:space="preserve">Chester Helps Wilmington</w:t>
            </w:r>
          </w:p>
        </w:tc>
        <w:tc>
          <w:tcPr>
            <w:tcW w:type="dxa" w:w="4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Chester BOO track record = Wilmington CDFI underwriting; Chester grant awards = Wilmington EDA competitiveness</w:t>
            </w:r>
          </w:p>
        </w:tc>
        <w:tc>
          <w:tcPr>
            <w:tcW w:type="dxa" w:w="4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w:t>
            </w:r>
          </w:p>
        </w:tc>
      </w:tr>
      <w:tr>
        <w:tc>
          <w:tcPr>
            <w:tcW w:type="dxa" w:w="14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jc w:val="left"/>
            </w:pPr>
            <w:r>
              <w:rPr>
                <w:rFonts w:ascii="Arial" w:cs="Arial" w:eastAsia="Arial" w:hAnsi="Arial"/>
                <w:b/>
                <w:bCs/>
                <w:color w:val="0A2342"/>
                <w:sz w:val="17"/>
                <w:szCs w:val="17"/>
              </w:rPr>
              <w:t xml:space="preserve">Wilmington Helps Chester</w:t>
            </w:r>
          </w:p>
        </w:tc>
        <w:tc>
          <w:tcPr>
            <w:tcW w:type="dxa" w:w="434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Merge4Ward Wilmington node = Forward Building System supply for Chester MaxWellness build</w:t>
            </w:r>
          </w:p>
        </w:tc>
        <w:tc>
          <w:tcPr>
            <w:tcW w:type="dxa" w:w="434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w:t>
            </w:r>
          </w:p>
        </w:tc>
      </w:tr>
    </w:tbl>
    <w:p>
      <w:pPr>
        <w:spacing w:after="120" w:before="0"/>
        <w:jc w:val="left"/>
      </w:pPr>
      <w:r>
        <w:rPr>
          <w:rFonts w:ascii="Arial" w:cs="Arial" w:eastAsia="Arial" w:hAnsi="Arial"/>
          <w:color w:val="2C2C3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9C2A" w:sz="1"/>
              <w:left w:val="single" w:color="C89C2A" w:sz="1"/>
              <w:bottom w:val="single" w:color="C89C2A" w:sz="1"/>
              <w:right w:val="single" w:color="C89C2A" w:sz="1"/>
            </w:tcBorders>
            <w:shd w:fill="0A2342" w:val="clear"/>
            <w:tcMar>
              <w:top w:type="dxa" w:w="100"/>
              <w:left w:type="dxa" w:w="140"/>
              <w:bottom w:type="dxa" w:w="100"/>
              <w:right w:type="dxa" w:w="140"/>
            </w:tcMar>
            <w:vAlign w:val="top"/>
          </w:tcPr>
          <w:p>
            <w:pPr>
              <w:spacing w:after="60" w:before="60"/>
              <w:jc w:val="left"/>
            </w:pPr>
            <w:r>
              <w:rPr>
                <w:rFonts w:ascii="Arial" w:cs="Arial" w:eastAsia="Arial" w:hAnsi="Arial"/>
                <w:caps/>
                <w:color w:val="C89C2A"/>
                <w:sz w:val="16"/>
                <w:szCs w:val="16"/>
              </w:rPr>
              <w:t xml:space="preserve">The Compounding Advantage Trevor Should Articulate to Both Mayors</w:t>
            </w:r>
          </w:p>
          <w:p>
            <w:pPr>
              <w:spacing w:after="80" w:before="40" w:line="276"/>
            </w:pPr>
            <w:r>
              <w:rPr>
                <w:rFonts w:ascii="Arial" w:cs="Arial" w:eastAsia="Arial" w:hAnsi="Arial"/>
                <w:color w:val="DCE8F0"/>
                <w:sz w:val="21"/>
                <w:szCs w:val="21"/>
              </w:rPr>
              <w:t xml:space="preserve">Chester and Wilmington are not two cities competing for M4D's attention — they are two anchor cities in a coordinated Mid-Atlantic clean industrial and affordable housing strategy. </w:t>
            </w:r>
            <w:r>
              <w:rPr>
                <w:rFonts w:ascii="Arial" w:cs="Arial" w:eastAsia="Arial" w:hAnsi="Arial"/>
                <w:b/>
                <w:bCs/>
                <w:color w:val="C89C2A"/>
                <w:sz w:val="21"/>
                <w:szCs w:val="21"/>
              </w:rPr>
              <w:t xml:space="preserve">Mayor Roots gets a clean tech anchor and a community health campus.</w:t>
            </w:r>
            <w:r>
              <w:rPr>
                <w:rFonts w:ascii="Arial" w:cs="Arial" w:eastAsia="Arial" w:hAnsi="Arial"/>
                <w:color w:val="DCE8F0"/>
                <w:sz w:val="21"/>
                <w:szCs w:val="21"/>
              </w:rPr>
              <w:t xml:space="preserve">  Mayor Purzycki gets a manufacturing node that supplies affordable housing panels to Delaware projects while co-locating a clean tech revenue generator.</w:t>
            </w:r>
            <w:r>
              <w:rPr>
                <w:rFonts w:ascii="Arial" w:cs="Arial" w:eastAsia="Arial" w:hAnsi="Arial"/>
                <w:b/>
                <w:bCs/>
                <w:color w:val="C89C2A"/>
                <w:sz w:val="21"/>
                <w:szCs w:val="21"/>
              </w:rPr>
              <w:t xml:space="preserve">  Every building Merge4Ward delivers in Delaware uses panels manufactured on the Wilmington waterfront — from a City-owned ground-leased site — creating a closed loop of Delaware-sourced, Delaware-manufactured, Delaware-delivered community housing.</w:t>
            </w:r>
          </w:p>
        </w:tc>
      </w:tr>
    </w:tbl>
    <w:p>
      <w:pPr>
        <w:spacing w:after="120" w:before="0"/>
        <w:jc w:val="left"/>
      </w:pPr>
      <w:r>
        <w:rPr>
          <w:rFonts w:ascii="Arial" w:cs="Arial" w:eastAsia="Arial" w:hAnsi="Arial"/>
          <w:color w:val="2C2C30"/>
          <w:sz w:val="22"/>
          <w:szCs w:val="22"/>
        </w:rPr>
        <w:t xml:space="preserve"/>
      </w:r>
    </w:p>
    <w:p>
      <w:pPr>
        <w:spacing w:after="100" w:before="0"/>
        <w:jc w:val="left"/>
      </w:pPr>
      <w:r>
        <w:rPr>
          <w:rFonts w:ascii="Arial" w:cs="Arial" w:eastAsia="Arial" w:hAnsi="Arial"/>
          <w:color w:val="2C2C3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8"/>
                <w:szCs w:val="18"/>
              </w:rPr>
              <w:t xml:space="preserve">Section 7 — Immediate Actions for Trevor</w:t>
            </w:r>
          </w:p>
        </w:tc>
      </w:tr>
    </w:tbl>
    <w:p>
      <w:pPr>
        <w:spacing w:after="80" w:before="0"/>
        <w:jc w:val="left"/>
      </w:pPr>
      <w:r>
        <w:rPr>
          <w:rFonts w:ascii="Arial" w:cs="Arial" w:eastAsia="Arial" w:hAnsi="Arial"/>
          <w:color w:val="2C2C30"/>
          <w:sz w:val="22"/>
          <w:szCs w:val="22"/>
        </w:rPr>
        <w:t xml:space="preserve"/>
      </w:r>
    </w:p>
    <w:p>
      <w:pPr>
        <w:pStyle w:val="Heading1"/>
        <w:pBdr>
          <w:left w:val="single" w:color="C89C2A" w:sz="18" w:space="6"/>
        </w:pBdr>
        <w:spacing w:after="120" w:before="240"/>
        <w:ind w:left="160"/>
      </w:pPr>
      <w:r>
        <w:rPr>
          <w:rFonts w:ascii="Arial" w:cs="Arial" w:eastAsia="Arial" w:hAnsi="Arial"/>
          <w:b/>
          <w:bCs/>
          <w:color w:val="0A2342"/>
          <w:sz w:val="28"/>
          <w:szCs w:val="28"/>
        </w:rPr>
        <w:t xml:space="preserve">Three Authorizations. Two Cities. One Coordinated Ask.</w:t>
      </w:r>
    </w:p>
    <w:p>
      <w:pPr>
        <w:spacing w:after="60" w:before="0"/>
        <w:jc w:val="left"/>
      </w:pPr>
      <w:r>
        <w:rPr>
          <w:rFonts w:ascii="Arial" w:cs="Arial" w:eastAsia="Arial" w:hAnsi="Arial"/>
          <w:color w:val="2C2C3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CCCCC" w:sz="1"/>
              <w:left w:val="single" w:color="CCCCCC" w:sz="1"/>
              <w:bottom w:val="single" w:color="CCCCCC" w:sz="1"/>
              <w:right w:val="single" w:color="CCCCCC" w:sz="1"/>
            </w:tcBorders>
            <w:shd w:fill="E8EEF6" w:val="clear"/>
            <w:tcMar>
              <w:top w:type="dxa" w:w="100"/>
              <w:left w:type="dxa" w:w="140"/>
              <w:bottom w:type="dxa" w:w="100"/>
              <w:right w:type="dxa" w:w="140"/>
            </w:tcMar>
            <w:vAlign w:val="top"/>
          </w:tcPr>
          <w:p>
            <w:pPr>
              <w:spacing w:after="40" w:before="60"/>
              <w:jc w:val="left"/>
            </w:pPr>
            <w:r>
              <w:rPr>
                <w:rFonts w:ascii="Arial" w:cs="Arial" w:eastAsia="Arial" w:hAnsi="Arial"/>
                <w:caps/>
                <w:color w:val="0A2342"/>
                <w:sz w:val="16"/>
                <w:szCs w:val="16"/>
              </w:rPr>
              <w:t xml:space="preserve">Now — Q3 2026</w:t>
            </w:r>
          </w:p>
          <w:p>
            <w:pPr>
              <w:spacing w:after="40" w:before="0"/>
              <w:jc w:val="left"/>
            </w:pPr>
            <w:r>
              <w:rPr>
                <w:rFonts w:ascii="Arial" w:cs="Arial" w:eastAsia="Arial" w:hAnsi="Arial"/>
                <w:b/>
                <w:bCs/>
                <w:color w:val="0A2342"/>
                <w:sz w:val="21"/>
                <w:szCs w:val="21"/>
              </w:rPr>
              <w:t xml:space="preserve">OED Parcel Meeting</w:t>
            </w:r>
          </w:p>
          <w:p>
            <w:pPr>
              <w:spacing w:after="60" w:before="0"/>
              <w:jc w:val="left"/>
            </w:pPr>
            <w:r>
              <w:rPr>
                <w:rFonts w:ascii="Arial" w:cs="Arial" w:eastAsia="Arial" w:hAnsi="Arial"/>
                <w:color w:val="C89C2A"/>
                <w:sz w:val="16"/>
                <w:szCs w:val="16"/>
              </w:rPr>
              <w:t xml:space="preserve">Sean Park — existing relationship</w:t>
            </w:r>
          </w:p>
          <w:p>
            <w:pPr>
              <w:spacing w:after="80" w:before="0" w:line="255"/>
              <w:jc w:val="left"/>
            </w:pPr>
            <w:r>
              <w:rPr>
                <w:rFonts w:ascii="Arial" w:cs="Arial" w:eastAsia="Arial" w:hAnsi="Arial"/>
                <w:color w:val="2C2C30"/>
                <w:sz w:val="18"/>
                <w:szCs w:val="18"/>
              </w:rPr>
              <w:t xml:space="preserve">Present Hay Road Peninsula aerial + campus concept to Sean Park at Wilmington OED. Request: (1) parcel ownership confirmation on 26-044/26-045/26-052 series, (2) City's interest in master development agreement, (3) intro to Mayor Purzycki for formal endorsement. Bring Chester brief as proof of parallel momentum.</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60"/>
              <w:jc w:val="left"/>
            </w:pPr>
            <w:r>
              <w:rPr>
                <w:rFonts w:ascii="Arial" w:cs="Arial" w:eastAsia="Arial" w:hAnsi="Arial"/>
                <w:caps/>
                <w:color w:val="0A2342"/>
                <w:sz w:val="16"/>
                <w:szCs w:val="16"/>
              </w:rPr>
              <w:t xml:space="preserve">Q3 2026</w:t>
            </w:r>
          </w:p>
          <w:p>
            <w:pPr>
              <w:spacing w:after="40" w:before="0"/>
              <w:jc w:val="left"/>
            </w:pPr>
            <w:r>
              <w:rPr>
                <w:rFonts w:ascii="Arial" w:cs="Arial" w:eastAsia="Arial" w:hAnsi="Arial"/>
                <w:b/>
                <w:bCs/>
                <w:color w:val="0A2342"/>
                <w:sz w:val="21"/>
                <w:szCs w:val="21"/>
              </w:rPr>
              <w:t xml:space="preserve">Supplier Pre-Qualification</w:t>
            </w:r>
          </w:p>
          <w:p>
            <w:pPr>
              <w:spacing w:after="60" w:before="0"/>
              <w:jc w:val="left"/>
            </w:pPr>
            <w:r>
              <w:rPr>
                <w:rFonts w:ascii="Arial" w:cs="Arial" w:eastAsia="Arial" w:hAnsi="Arial"/>
                <w:color w:val="C89C2A"/>
                <w:sz w:val="16"/>
                <w:szCs w:val="16"/>
              </w:rPr>
              <w:t xml:space="preserve">Ground lease as negotiating credential</w:t>
            </w:r>
          </w:p>
          <w:p>
            <w:pPr>
              <w:spacing w:after="80" w:before="0" w:line="255"/>
              <w:jc w:val="left"/>
            </w:pPr>
            <w:r>
              <w:rPr>
                <w:rFonts w:ascii="Arial" w:cs="Arial" w:eastAsia="Arial" w:hAnsi="Arial"/>
                <w:color w:val="2C2C30"/>
                <w:sz w:val="18"/>
                <w:szCs w:val="18"/>
              </w:rPr>
              <w:t xml:space="preserve">Initiate conversations with TerraLam, Structurlam, Acme Panel, and Aercon/Xella using the pending Wilmington ground lease as the anchor credential. Do not finalize terms before ground lease is signed — but establish relationships and get indicative pricing that reflects committed-site buyer status.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60"/>
              <w:jc w:val="left"/>
            </w:pPr>
            <w:r>
              <w:rPr>
                <w:rFonts w:ascii="Arial" w:cs="Arial" w:eastAsia="Arial" w:hAnsi="Arial"/>
                <w:caps/>
                <w:color w:val="0A2342"/>
                <w:sz w:val="16"/>
                <w:szCs w:val="16"/>
              </w:rPr>
              <w:t xml:space="preserve">Q3–Q4 2026</w:t>
            </w:r>
          </w:p>
          <w:p>
            <w:pPr>
              <w:spacing w:after="40" w:before="0"/>
              <w:jc w:val="left"/>
            </w:pPr>
            <w:r>
              <w:rPr>
                <w:rFonts w:ascii="Arial" w:cs="Arial" w:eastAsia="Arial" w:hAnsi="Arial"/>
                <w:b/>
                <w:bCs/>
                <w:color w:val="0A2342"/>
                <w:sz w:val="21"/>
                <w:szCs w:val="21"/>
              </w:rPr>
              <w:t xml:space="preserve">Ground Lease + BOO Parallel</w:t>
            </w:r>
          </w:p>
          <w:p>
            <w:pPr>
              <w:spacing w:after="60" w:before="0"/>
              <w:jc w:val="left"/>
            </w:pPr>
            <w:r>
              <w:rPr>
                <w:rFonts w:ascii="Arial" w:cs="Arial" w:eastAsia="Arial" w:hAnsi="Arial"/>
                <w:color w:val="C89C2A"/>
                <w:sz w:val="16"/>
                <w:szCs w:val="16"/>
              </w:rPr>
              <w:t xml:space="preserve">Legal + Klean/KBR simultaneously</w:t>
            </w:r>
          </w:p>
          <w:p>
            <w:pPr>
              <w:spacing w:after="80" w:before="0" w:line="255"/>
              <w:jc w:val="left"/>
            </w:pPr>
            <w:r>
              <w:rPr>
                <w:rFonts w:ascii="Arial" w:cs="Arial" w:eastAsia="Arial" w:hAnsi="Arial"/>
                <w:color w:val="2C2C30"/>
                <w:sz w:val="18"/>
                <w:szCs w:val="18"/>
              </w:rPr>
              <w:t xml:space="preserve">Engage DE transactional counsel for ground lease negotiation. Simultaneously initiate Klean/KBR BOO site feasibility conversation for the 26-052 southern tip parcel. Right of First Refusal on adjacent parcels must be a ground lease term — negotiate this before signing.</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60"/>
              <w:jc w:val="left"/>
            </w:pPr>
            <w:r>
              <w:rPr>
                <w:rFonts w:ascii="Arial" w:cs="Arial" w:eastAsia="Arial" w:hAnsi="Arial"/>
                <w:caps/>
                <w:color w:val="0A2342"/>
                <w:sz w:val="16"/>
                <w:szCs w:val="16"/>
              </w:rPr>
              <w:t xml:space="preserve">Q4 2026 — 2027</w:t>
            </w:r>
          </w:p>
          <w:p>
            <w:pPr>
              <w:spacing w:after="40" w:before="0"/>
              <w:jc w:val="left"/>
            </w:pPr>
            <w:r>
              <w:rPr>
                <w:rFonts w:ascii="Arial" w:cs="Arial" w:eastAsia="Arial" w:hAnsi="Arial"/>
                <w:b/>
                <w:bCs/>
                <w:color w:val="0A2342"/>
                <w:sz w:val="21"/>
                <w:szCs w:val="21"/>
              </w:rPr>
              <w:t xml:space="preserve">Capital Stack Assembly</w:t>
            </w:r>
          </w:p>
          <w:p>
            <w:pPr>
              <w:spacing w:after="60" w:before="0"/>
              <w:jc w:val="left"/>
            </w:pPr>
            <w:r>
              <w:rPr>
                <w:rFonts w:ascii="Arial" w:cs="Arial" w:eastAsia="Arial" w:hAnsi="Arial"/>
                <w:color w:val="C89C2A"/>
                <w:sz w:val="16"/>
                <w:szCs w:val="16"/>
              </w:rPr>
              <w:t xml:space="preserve">Grant applications + CDFI</w:t>
            </w:r>
          </w:p>
          <w:p>
            <w:pPr>
              <w:spacing w:after="80" w:before="0" w:line="255"/>
              <w:jc w:val="left"/>
            </w:pPr>
            <w:r>
              <w:rPr>
                <w:rFonts w:ascii="Arial" w:cs="Arial" w:eastAsia="Arial" w:hAnsi="Arial"/>
                <w:color w:val="2C2C30"/>
                <w:sz w:val="18"/>
                <w:szCs w:val="18"/>
              </w:rPr>
              <w:t xml:space="preserve">File EPA Brownfields Assessment grant (Peninsula). File DEDO Strategic Fund pre-application. File EDA EAA pre-application citing Chester PA as parallel project. Engage Reinvestment Fund and Artisans' Bank for CDFI manufacturing loan pre-qualification. OZ investor identification begins.</w:t>
            </w:r>
          </w:p>
        </w:tc>
      </w:tr>
    </w:tbl>
    <w:p>
      <w:pPr>
        <w:spacing w:after="120" w:before="0"/>
        <w:jc w:val="left"/>
      </w:pPr>
      <w:r>
        <w:rPr>
          <w:rFonts w:ascii="Arial" w:cs="Arial" w:eastAsia="Arial" w:hAnsi="Arial"/>
          <w:color w:val="2C2C3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80"/>
              <w:jc w:val="left"/>
            </w:pPr>
            <w:r>
              <w:rPr>
                <w:rFonts w:ascii="Arial" w:cs="Arial" w:eastAsia="Arial" w:hAnsi="Arial"/>
                <w:b/>
                <w:bCs/>
                <w:caps/>
                <w:color w:val="0A2342"/>
                <w:sz w:val="20"/>
                <w:szCs w:val="20"/>
              </w:rPr>
              <w:t xml:space="preserve">Prepared By &amp; Contact</w:t>
            </w:r>
          </w:p>
          <w:p>
            <w:pPr>
              <w:spacing w:after="40" w:before="0"/>
              <w:jc w:val="left"/>
            </w:pPr>
            <w:r>
              <w:rPr>
                <w:rFonts w:ascii="Arial" w:cs="Arial" w:eastAsia="Arial" w:hAnsi="Arial"/>
                <w:b/>
                <w:bCs/>
                <w:color w:val="0A2342"/>
                <w:sz w:val="22"/>
                <w:szCs w:val="22"/>
              </w:rPr>
              <w:t xml:space="preserve">Trevor Knight</w:t>
            </w:r>
            <w:r>
              <w:rPr>
                <w:rFonts w:ascii="Arial" w:cs="Arial" w:eastAsia="Arial" w:hAnsi="Arial"/>
                <w:color w:val="2C2C30"/>
                <w:sz w:val="22"/>
                <w:szCs w:val="22"/>
              </w:rPr>
              <w:t xml:space="preserve">,  GMD  ·  Merge 4 Design LLC  ·  Presenting on behalf of the Merge4Ward / M4CleanTech partnership</w:t>
            </w:r>
          </w:p>
          <w:p>
            <w:pPr>
              <w:spacing w:after="60" w:before="0"/>
              <w:jc w:val="left"/>
            </w:pPr>
            <w:r>
              <w:rPr>
                <w:rFonts w:ascii="Arial" w:cs="Arial" w:eastAsia="Arial" w:hAnsi="Arial"/>
                <w:color w:val="2C2C30"/>
                <w:sz w:val="21"/>
                <w:szCs w:val="21"/>
              </w:rPr>
              <w:t xml:space="preserve">500 Delaware Ave., Suite 1 #1551, Wilmington, DE 19899  ·  merge4design.com</w:t>
            </w:r>
          </w:p>
          <w:p>
            <w:pPr>
              <w:spacing w:after="60" w:before="0"/>
              <w:jc w:val="left"/>
            </w:pPr>
            <w:r>
              <w:rPr>
                <w:rFonts w:ascii="Arial" w:cs="Arial" w:eastAsia="Arial" w:hAnsi="Arial"/>
                <w:b/>
                <w:bCs/>
                <w:color w:val="0A2342"/>
                <w:sz w:val="21"/>
                <w:szCs w:val="21"/>
              </w:rPr>
              <w:t xml:space="preserve">Technical &amp; Predevelopment Lead:  </w:t>
            </w:r>
            <w:r>
              <w:rPr>
                <w:rFonts w:ascii="Arial" w:cs="Arial" w:eastAsia="Arial" w:hAnsi="Arial"/>
                <w:color w:val="2C2C30"/>
                <w:sz w:val="21"/>
                <w:szCs w:val="21"/>
              </w:rPr>
              <w:t xml:space="preserve">David C. Ainsworth, AIA  ·  Aubyn Architecture LLC  ·  M4Di Predevelopment  ·  215 N. Market Street, Suite 317, Wilmington, DE 19801</w:t>
            </w:r>
          </w:p>
          <w:p>
            <w:pPr>
              <w:spacing w:after="80" w:before="0"/>
              <w:jc w:val="left"/>
            </w:pPr>
            <w:r>
              <w:rPr>
                <w:rFonts w:ascii="Arial" w:cs="Arial" w:eastAsia="Arial" w:hAnsi="Arial"/>
                <w:color w:val="6B6B72"/>
                <w:sz w:val="19"/>
                <w:szCs w:val="19"/>
              </w:rPr>
              <w:t xml:space="preserve">Partnership team: Trevor Knight (Strategy / BD)  ·  Leo Lynch (Operations / Grants)  ·  Travis Davis (Delivery / Visualization)  ·  David Ainsworth (Predevelopment / Architecture / Supply Strategy)</w:t>
            </w:r>
          </w:p>
        </w:tc>
      </w:tr>
    </w:tbl>
    <w:p>
      <w:pPr>
        <w:spacing w:after="80" w:before="0"/>
        <w:jc w:val="left"/>
      </w:pPr>
      <w:r>
        <w:rPr>
          <w:rFonts w:ascii="Arial" w:cs="Arial" w:eastAsia="Arial" w:hAnsi="Arial"/>
          <w:color w:val="2C2C30"/>
          <w:sz w:val="22"/>
          <w:szCs w:val="22"/>
        </w:rPr>
        <w:t xml:space="preserve"/>
      </w:r>
    </w:p>
    <w:p>
      <w:pPr>
        <w:spacing w:after="80" w:before="0" w:line="240"/>
        <w:jc w:val="left"/>
      </w:pPr>
      <w:r>
        <w:rPr>
          <w:rFonts w:ascii="Arial" w:cs="Arial" w:eastAsia="Arial" w:hAnsi="Arial"/>
          <w:i/>
          <w:iCs/>
          <w:color w:val="6B6B72"/>
          <w:sz w:val="17"/>
          <w:szCs w:val="17"/>
        </w:rPr>
        <w:t xml:space="preserve">All ROM investment, revenue, and cost-saving figures are preliminary estimates with ±30–40% confidence range. Not guaranteed, not funded commitments, and not GMP. Procurement savings estimates are based on published volume discount schedules and regional freight benchmarks — actual savings depend on negotiated supplier agreement terms and committed annual volumes. Ground lease terms, developer fee, BOO sublease economics, and supplier exclusivity arrangements all require negotiation and legal review before execution. CDFI and grant capital subject to competitive application and lender underwriting. Opportunity Zone investment requires qualified OZ fund and securities counsel review. DNREC environmental review and DEDO approvals are conditions precedent to any construction commitment.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80"/>
      <w:jc w:val="center"/>
    </w:pPr>
    <w:r>
      <w:rPr>
        <w:rFonts w:ascii="Arial" w:cs="Arial" w:eastAsia="Arial" w:hAnsi="Arial"/>
        <w:color w:val="6B6B72"/>
        <w:sz w:val="16"/>
        <w:szCs w:val="16"/>
      </w:rPr>
      <w:t xml:space="preserve">Merge4Ward LLC  ·  M4CleanTech LLC  ·  Wilmington Clean Industrial Campus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pBdr>
              <w:bottom w:val="single" w:color="0A2342" w:sz="6" w:space="4"/>
            </w:pBdr>
            <w:spacing w:after="0" w:before="0"/>
          </w:pPr>
          <w:r>
            <w:rPr>
              <w:rFonts w:ascii="Arial" w:cs="Arial" w:eastAsia="Arial" w:hAnsi="Arial"/>
              <w:b/>
              <w:bCs/>
              <w:color w:val="0A2342"/>
              <w:sz w:val="17"/>
              <w:szCs w:val="17"/>
            </w:rPr>
            <w:t xml:space="preserve">MERGE 4 DESIGN LLC  ·  MERGE4WARD LLC  ·  M4CleanTech LLC</w:t>
          </w:r>
        </w:p>
      </w:tc>
      <w:tc>
        <w:tcPr>
          <w:tcW w:type="dxa" w:w="5040"/>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pBdr>
              <w:bottom w:val="single" w:color="0A2342" w:sz="6" w:space="4"/>
            </w:pBdr>
            <w:spacing w:after="0" w:before="0"/>
            <w:jc w:val="right"/>
          </w:pPr>
          <w:r>
            <w:rPr>
              <w:rFonts w:ascii="Arial" w:cs="Arial" w:eastAsia="Arial" w:hAnsi="Arial"/>
              <w:color w:val="6B6B72"/>
              <w:sz w:val="17"/>
              <w:szCs w:val="17"/>
            </w:rPr>
            <w:t xml:space="preserve">Wilmington Campus Finance &amp; Supply Brief  ·  June 2026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C89C2A"/>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A2342"/>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0A23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2026-06-24T23:05:37.527Z</dcterms:created>
  <dcterms:modified xsi:type="dcterms:W3CDTF">2026-06-24T23:05:37.542Z</dcterms:modified>
</cp:coreProperties>
</file>

<file path=docProps/custom.xml><?xml version="1.0" encoding="utf-8"?>
<Properties xmlns="http://schemas.openxmlformats.org/officeDocument/2006/custom-properties" xmlns:vt="http://schemas.openxmlformats.org/officeDocument/2006/docPropsVTypes"/>
</file>