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color w:val="555555"/>
          <w:sz w:val="20"/>
          <w:szCs w:val="20"/>
        </w:rPr>
        <w:t xml:space="preserve">Merge4Ward LLC  ·  Forward Housing by Merge4Ward</w:t>
      </w:r>
    </w:p>
    <w:p>
      <w:pPr>
        <w:spacing w:after="40"/>
      </w:pPr>
      <w:r>
        <w:rPr>
          <w:rFonts w:ascii="Arial" w:cs="Arial" w:eastAsia="Arial" w:hAnsi="Arial"/>
          <w:color w:val="555555"/>
          <w:sz w:val="20"/>
          <w:szCs w:val="20"/>
        </w:rPr>
        <w:t xml:space="preserve">Wells Fargo / Enterprise Housing Affordability Breakthrough Challenge — 2026</w:t>
      </w:r>
    </w:p>
    <w:p>
      <w:pPr>
        <w:spacing w:after="20" w:before="80"/>
      </w:pPr>
      <w:r>
        <w:rPr>
          <w:rFonts w:ascii="Arial" w:cs="Arial" w:eastAsia="Arial" w:hAnsi="Arial"/>
          <w:b/>
          <w:bCs/>
          <w:color w:val="196B23"/>
          <w:sz w:val="36"/>
          <w:szCs w:val="36"/>
        </w:rPr>
        <w:t xml:space="preserve">Information Request:</w:t>
      </w:r>
    </w:p>
    <w:p>
      <w:pPr>
        <w:spacing w:after="60"/>
      </w:pPr>
      <w:r>
        <w:rPr>
          <w:rFonts w:ascii="Arial" w:cs="Arial" w:eastAsia="Arial" w:hAnsi="Arial"/>
          <w:b/>
          <w:bCs/>
          <w:color w:val="173404"/>
          <w:sz w:val="30"/>
          <w:szCs w:val="30"/>
        </w:rPr>
        <w:t xml:space="preserve">L.E.E.P., Inc. — Lead Applicant</w:t>
      </w:r>
    </w:p>
    <w:p>
      <w:pPr>
        <w:spacing w:after="60"/>
      </w:pPr>
      <w:r>
        <w:rPr>
          <w:rFonts w:ascii="Arial" w:cs="Arial" w:eastAsia="Arial" w:hAnsi="Arial"/>
          <w:color w:val="555555"/>
          <w:sz w:val="20"/>
          <w:szCs w:val="20"/>
        </w:rPr>
        <w:t xml:space="preserve">Prepared for: Gwenevere Motley  ·  From: David Ainsworth, AIA  ·  May 2026</w:t>
      </w:r>
    </w:p>
    <w:p>
      <w:pPr>
        <w:pBdr>
          <w:bottom w:val="single" w:color="196B23" w:sz="8" w:space="1"/>
        </w:pBdr>
        <w:spacing w:after="140" w:before="140"/>
      </w:pPr>
      <w:r>
        <w:t xml:space="preserve"/>
      </w:r>
    </w:p>
    <w:p>
      <w:pPr>
        <w:spacing w:after="60" w:before="60"/>
      </w:pPr>
      <w:r>
        <w:rPr>
          <w:rFonts w:ascii="Arial" w:cs="Arial" w:eastAsia="Arial" w:hAnsi="Arial"/>
          <w:sz w:val="22"/>
          <w:szCs w:val="22"/>
        </w:rPr>
        <w:t xml:space="preserve">Merge4Ward LLC is applying to the Wells Fargo / Enterprise Housing Affordability Breakthrough Challenge under the innovation name Forward Housing by Merge4Ward — a CLT/SIP hybrid construction system for community housing that combines cross-laminated timber's structural strength with structurally insulated panels' superior thermal performance. The grant awards five organizations each with $2 million plus technical assistance and national peer learning.</w:t>
      </w:r>
    </w:p>
    <w:p>
      <w:pPr>
        <w:spacing w:after="60" w:before="60"/>
      </w:pPr>
      <w:r>
        <w:rPr>
          <w:rFonts w:ascii="Arial" w:cs="Arial" w:eastAsia="Arial" w:hAnsi="Arial"/>
          <w:sz w:val="22"/>
          <w:szCs w:val="22"/>
        </w:rPr>
        <w:t xml:space="preserve">L.E.E.P., Inc. is the lead applicant for this application, with Merge4Ward LLC, Merge 4 Design LLC, Aubyn Architecture LLC, and M4Di as named implementation partners. The application requires specific organizational information about L.E.E.P., Inc. as the lead entity. We are requesting your assistance in supplying the items below.</w:t>
      </w:r>
    </w:p>
    <w:p>
      <w:pPr>
        <w:pBdr>
          <w:bottom w:val="single" w:color="196B23" w:sz="8" w:space="1"/>
        </w:pBdr>
        <w:spacing w:after="140" w:before="140"/>
      </w:pPr>
      <w:r>
        <w:t xml:space="preserve"/>
      </w:r>
    </w:p>
    <w:p>
      <w:pPr>
        <w:spacing w:after="100" w:before="280"/>
      </w:pPr>
      <w:r>
        <w:rPr>
          <w:rFonts w:ascii="Arial" w:cs="Arial" w:eastAsia="Arial" w:hAnsi="Arial"/>
          <w:b/>
          <w:bCs/>
          <w:color w:val="196B23"/>
          <w:sz w:val="28"/>
          <w:szCs w:val="28"/>
        </w:rPr>
        <w:t xml:space="preserve">Information Required from L.E.E.P., Inc.</w:t>
      </w:r>
    </w:p>
    <w:p>
      <w:pPr>
        <w:spacing w:after="60" w:before="40"/>
      </w:pPr>
      <w:r>
        <w:rPr>
          <w:rFonts w:ascii="Arial" w:cs="Arial" w:eastAsia="Arial" w:hAnsi="Arial"/>
          <w:i/>
          <w:iCs/>
          <w:color w:val="CC0000"/>
          <w:sz w:val="20"/>
          <w:szCs w:val="20"/>
        </w:rPr>
        <w:t xml:space="preserve">Please return all items to david@aubynarch.com no later than May 9, 2026.</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EAF3DE" w:val="clear"/>
            <w:tcMar>
              <w:top w:type="dxa" w:w="120"/>
              <w:left w:type="dxa" w:w="200"/>
              <w:bottom w:type="dxa" w:w="120"/>
              <w:right w:type="dxa" w:w="200"/>
            </w:tcMar>
          </w:tcPr>
          <w:p>
            <w:pPr>
              <w:spacing w:after="40"/>
            </w:pPr>
            <w:r>
              <w:rPr>
                <w:rFonts w:ascii="Arial" w:cs="Arial" w:eastAsia="Arial" w:hAnsi="Arial"/>
                <w:b/>
                <w:bCs/>
                <w:color w:val="196B23"/>
                <w:sz w:val="22"/>
                <w:szCs w:val="22"/>
              </w:rPr>
              <w:t xml:space="preserve">⚠  APPLICATION DEADLINE: May 15, 2026 — 11:59 PM ET</w:t>
            </w:r>
          </w:p>
          <w:p>
            <w:pPr>
              <w:spacing w:after="0" w:before="0"/>
            </w:pPr>
            <w:r>
              <w:rPr>
                <w:rFonts w:ascii="Arial" w:cs="Arial" w:eastAsia="Arial" w:hAnsi="Arial"/>
                <w:color w:val="555555"/>
                <w:sz w:val="21"/>
                <w:szCs w:val="21"/>
              </w:rPr>
              <w:t xml:space="preserve">Please return all items below to David Ainsworth (david@aubynarch.com) no later than May 9, 2026 to allow time for final review and submission.</w:t>
            </w:r>
          </w:p>
        </w:tc>
      </w:tr>
    </w:tbl>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73404"/>
          <w:sz w:val="24"/>
          <w:szCs w:val="24"/>
        </w:rPr>
        <w:t xml:space="preserve">Section 1 — Organizational Contact Information</w:t>
      </w:r>
    </w:p>
    <w:p>
      <w:pPr>
        <w:spacing w:after="60" w:before="40"/>
      </w:pPr>
      <w:r>
        <w:rPr>
          <w:rFonts w:ascii="Arial" w:cs="Arial" w:eastAsia="Arial" w:hAnsi="Arial"/>
          <w:i/>
          <w:iCs/>
          <w:color w:val="AA6600"/>
          <w:sz w:val="20"/>
          <w:szCs w:val="20"/>
        </w:rPr>
        <w:t xml:space="preserve">These fields appear directly in the application form. Exact legal language required.</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3360"/>
        <w:gridCol w:w="1200"/>
      </w:tblGrid>
      <w:tr>
        <w:tc>
          <w:tcPr>
            <w:tcW w:type="dxa" w:w="600"/>
            <w:tcBorders>
              <w:top w:val="single" w:color="999999" w:sz="1"/>
              <w:left w:val="single" w:color="999999" w:sz="1"/>
              <w:bottom w:val="single" w:color="999999" w:sz="1"/>
              <w:right w:val="single" w:color="999999"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4200"/>
            <w:tcBorders>
              <w:top w:val="single" w:color="999999" w:sz="1"/>
              <w:left w:val="single" w:color="999999" w:sz="1"/>
              <w:bottom w:val="single" w:color="999999" w:sz="1"/>
              <w:right w:val="single" w:color="999999"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Item Needed</w:t>
            </w:r>
          </w:p>
        </w:tc>
        <w:tc>
          <w:tcPr>
            <w:tcW w:type="dxa" w:w="3360"/>
            <w:tcBorders>
              <w:top w:val="single" w:color="999999" w:sz="1"/>
              <w:left w:val="single" w:color="999999" w:sz="1"/>
              <w:bottom w:val="single" w:color="999999" w:sz="1"/>
              <w:right w:val="single" w:color="999999"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Detail / Format</w:t>
            </w:r>
          </w:p>
        </w:tc>
        <w:tc>
          <w:tcPr>
            <w:tcW w:type="dxa" w:w="1200"/>
            <w:tcBorders>
              <w:top w:val="single" w:color="999999" w:sz="1"/>
              <w:left w:val="single" w:color="999999" w:sz="1"/>
              <w:bottom w:val="single" w:color="999999" w:sz="1"/>
              <w:right w:val="single" w:color="999999"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2"/>
                <w:szCs w:val="22"/>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Legal name of organization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L.E.E.P., Inc.'s full registered legal name exactly as filed — confirm spelling and punctuation</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C0000"/>
                <w:sz w:val="19"/>
                <w:szCs w:val="19"/>
              </w:rPr>
              <w:t xml:space="preserve">Required</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2"/>
                <w:szCs w:val="22"/>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Organization address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Street address, city, state, ZIP — primary registered address</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C0000"/>
                <w:sz w:val="19"/>
                <w:szCs w:val="19"/>
              </w:rPr>
              <w:t xml:space="preserve">Required</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2"/>
                <w:szCs w:val="22"/>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Organization website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Full URL if one exists; if none, confirm</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C0000"/>
                <w:sz w:val="19"/>
                <w:szCs w:val="19"/>
              </w:rPr>
              <w:t xml:space="preserve">Required</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2"/>
                <w:szCs w:val="22"/>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Primary contact first and last name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Gwenevere Motley — confirm preferred name format for formal application</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C0000"/>
                <w:sz w:val="19"/>
                <w:szCs w:val="19"/>
              </w:rPr>
              <w:t xml:space="preserve">Required</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2"/>
                <w:szCs w:val="22"/>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Primary contact email address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Must be an active monitored address</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C0000"/>
                <w:sz w:val="19"/>
                <w:szCs w:val="19"/>
              </w:rPr>
              <w:t xml:space="preserve">Required</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2"/>
                <w:szCs w:val="22"/>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Primary contact title / role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Official L.E.E.P., Inc. title</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C0000"/>
                <w:sz w:val="19"/>
                <w:szCs w:val="19"/>
              </w:rPr>
              <w:t xml:space="preserve">Required</w:t>
            </w:r>
          </w:p>
        </w:tc>
      </w:tr>
    </w:tbl>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73404"/>
          <w:sz w:val="24"/>
          <w:szCs w:val="24"/>
        </w:rPr>
        <w:t xml:space="preserve">Section 2 — Staffing Information</w:t>
      </w:r>
    </w:p>
    <w:p>
      <w:pPr>
        <w:spacing w:after="60" w:before="40"/>
      </w:pPr>
      <w:r>
        <w:rPr>
          <w:rFonts w:ascii="Arial" w:cs="Arial" w:eastAsia="Arial" w:hAnsi="Arial"/>
          <w:i/>
          <w:iCs/>
          <w:color w:val="AA6600"/>
          <w:sz w:val="20"/>
          <w:szCs w:val="20"/>
        </w:rPr>
        <w:t xml:space="preserve">The application asks for current L.E.E.P., Inc. employee counts. These must reflect L.E.E.P.'s actual staffing.</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3360"/>
        <w:gridCol w:w="1200"/>
      </w:tblGrid>
      <w:tr>
        <w:tc>
          <w:tcPr>
            <w:tcW w:type="dxa" w:w="600"/>
            <w:tcBorders>
              <w:top w:val="single" w:color="999999" w:sz="1"/>
              <w:left w:val="single" w:color="999999" w:sz="1"/>
              <w:bottom w:val="single" w:color="999999" w:sz="1"/>
              <w:right w:val="single" w:color="999999"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4200"/>
            <w:tcBorders>
              <w:top w:val="single" w:color="999999" w:sz="1"/>
              <w:left w:val="single" w:color="999999" w:sz="1"/>
              <w:bottom w:val="single" w:color="999999" w:sz="1"/>
              <w:right w:val="single" w:color="999999"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Item Needed</w:t>
            </w:r>
          </w:p>
        </w:tc>
        <w:tc>
          <w:tcPr>
            <w:tcW w:type="dxa" w:w="3360"/>
            <w:tcBorders>
              <w:top w:val="single" w:color="999999" w:sz="1"/>
              <w:left w:val="single" w:color="999999" w:sz="1"/>
              <w:bottom w:val="single" w:color="999999" w:sz="1"/>
              <w:right w:val="single" w:color="999999"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Detail / Format</w:t>
            </w:r>
          </w:p>
        </w:tc>
        <w:tc>
          <w:tcPr>
            <w:tcW w:type="dxa" w:w="1200"/>
            <w:tcBorders>
              <w:top w:val="single" w:color="999999" w:sz="1"/>
              <w:left w:val="single" w:color="999999" w:sz="1"/>
              <w:bottom w:val="single" w:color="999999" w:sz="1"/>
              <w:right w:val="single" w:color="999999"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2"/>
                <w:szCs w:val="22"/>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Number of full-time employees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Current FTE count for L.E.E.P., Inc.</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C0000"/>
                <w:sz w:val="19"/>
                <w:szCs w:val="19"/>
              </w:rPr>
              <w:t xml:space="preserve">Required</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2"/>
                <w:szCs w:val="22"/>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Number of part-time employees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Current PTE count for L.E.E.P., Inc.</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C0000"/>
                <w:sz w:val="19"/>
                <w:szCs w:val="19"/>
              </w:rPr>
              <w:t xml:space="preserve">Required</w:t>
            </w:r>
          </w:p>
        </w:tc>
      </w:tr>
    </w:tbl>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73404"/>
          <w:sz w:val="24"/>
          <w:szCs w:val="24"/>
        </w:rPr>
        <w:t xml:space="preserve">Section 3 — Housing Type &amp; AMI Targeting Confirmation</w:t>
      </w:r>
    </w:p>
    <w:p>
      <w:pPr>
        <w:spacing w:after="60" w:before="40"/>
      </w:pPr>
      <w:r>
        <w:rPr>
          <w:rFonts w:ascii="Arial" w:cs="Arial" w:eastAsia="Arial" w:hAnsi="Arial"/>
          <w:i/>
          <w:iCs/>
          <w:color w:val="AA6600"/>
          <w:sz w:val="20"/>
          <w:szCs w:val="20"/>
        </w:rPr>
        <w:t xml:space="preserve">The application requires selection of a primary housing type. We need your confirmation on the intended sale structure for the Claymont units and future Forward Housing projects.</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3360"/>
        <w:gridCol w:w="1200"/>
      </w:tblGrid>
      <w:tr>
        <w:tc>
          <w:tcPr>
            <w:tcW w:type="dxa" w:w="600"/>
            <w:tcBorders>
              <w:top w:val="single" w:color="999999" w:sz="1"/>
              <w:left w:val="single" w:color="999999" w:sz="1"/>
              <w:bottom w:val="single" w:color="999999" w:sz="1"/>
              <w:right w:val="single" w:color="999999"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4200"/>
            <w:tcBorders>
              <w:top w:val="single" w:color="999999" w:sz="1"/>
              <w:left w:val="single" w:color="999999" w:sz="1"/>
              <w:bottom w:val="single" w:color="999999" w:sz="1"/>
              <w:right w:val="single" w:color="999999"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Item Needed</w:t>
            </w:r>
          </w:p>
        </w:tc>
        <w:tc>
          <w:tcPr>
            <w:tcW w:type="dxa" w:w="3360"/>
            <w:tcBorders>
              <w:top w:val="single" w:color="999999" w:sz="1"/>
              <w:left w:val="single" w:color="999999" w:sz="1"/>
              <w:bottom w:val="single" w:color="999999" w:sz="1"/>
              <w:right w:val="single" w:color="999999"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Detail / Format</w:t>
            </w:r>
          </w:p>
        </w:tc>
        <w:tc>
          <w:tcPr>
            <w:tcW w:type="dxa" w:w="1200"/>
            <w:tcBorders>
              <w:top w:val="single" w:color="999999" w:sz="1"/>
              <w:left w:val="single" w:color="999999" w:sz="1"/>
              <w:bottom w:val="single" w:color="999999" w:sz="1"/>
              <w:right w:val="single" w:color="999999"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2"/>
                <w:szCs w:val="22"/>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Housing type confirmation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Claymont units are priced at $220,000–$250,000 for sale. Please confirm: (1) Are they for-sale homeownership units? (2) What is the target buyer AMI range? Application options are: Rental ≤80% AMI, Homeownership ≤120% AMI, or Workforce ≤120% AMI.</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C0000"/>
                <w:sz w:val="19"/>
                <w:szCs w:val="19"/>
              </w:rPr>
              <w:t xml:space="preserve">Required</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2"/>
                <w:szCs w:val="22"/>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Future Forward Housing AMI intent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For the scaled replication initiative — what is the intended AMI targeting for subsequent Forward Housing units beyond the Claymont demonstration?</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AA6600"/>
                <w:sz w:val="19"/>
                <w:szCs w:val="19"/>
              </w:rPr>
              <w:t xml:space="preserve">Confirm</w:t>
            </w:r>
          </w:p>
        </w:tc>
      </w:tr>
    </w:tbl>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73404"/>
          <w:sz w:val="24"/>
          <w:szCs w:val="24"/>
        </w:rPr>
        <w:t xml:space="preserve">Section 4 — Letters of Support</w:t>
      </w:r>
    </w:p>
    <w:p>
      <w:pPr>
        <w:spacing w:after="60" w:before="40"/>
      </w:pPr>
      <w:r>
        <w:rPr>
          <w:rFonts w:ascii="Arial" w:cs="Arial" w:eastAsia="Arial" w:hAnsi="Arial"/>
          <w:i/>
          <w:iCs/>
          <w:color w:val="AA6600"/>
          <w:sz w:val="20"/>
          <w:szCs w:val="20"/>
        </w:rPr>
        <w:t xml:space="preserve">The application requires a minimum of one and accepts a maximum of three letters of support. All letters must be combined into a single PDF before upload.</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3360"/>
        <w:gridCol w:w="1200"/>
      </w:tblGrid>
      <w:tr>
        <w:tc>
          <w:tcPr>
            <w:tcW w:type="dxa" w:w="600"/>
            <w:tcBorders>
              <w:top w:val="single" w:color="999999" w:sz="1"/>
              <w:left w:val="single" w:color="999999" w:sz="1"/>
              <w:bottom w:val="single" w:color="999999" w:sz="1"/>
              <w:right w:val="single" w:color="999999"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4200"/>
            <w:tcBorders>
              <w:top w:val="single" w:color="999999" w:sz="1"/>
              <w:left w:val="single" w:color="999999" w:sz="1"/>
              <w:bottom w:val="single" w:color="999999" w:sz="1"/>
              <w:right w:val="single" w:color="999999"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Item Needed</w:t>
            </w:r>
          </w:p>
        </w:tc>
        <w:tc>
          <w:tcPr>
            <w:tcW w:type="dxa" w:w="3360"/>
            <w:tcBorders>
              <w:top w:val="single" w:color="999999" w:sz="1"/>
              <w:left w:val="single" w:color="999999" w:sz="1"/>
              <w:bottom w:val="single" w:color="999999" w:sz="1"/>
              <w:right w:val="single" w:color="999999"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Detail / Format</w:t>
            </w:r>
          </w:p>
        </w:tc>
        <w:tc>
          <w:tcPr>
            <w:tcW w:type="dxa" w:w="1200"/>
            <w:tcBorders>
              <w:top w:val="single" w:color="999999" w:sz="1"/>
              <w:left w:val="single" w:color="999999" w:sz="1"/>
              <w:bottom w:val="single" w:color="999999" w:sz="1"/>
              <w:right w:val="single" w:color="999999"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2"/>
                <w:szCs w:val="22"/>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Mayor's Office letter of support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Expected this week per David's notes. On official City of Wilmington letterhead. Should address: the Forward Housing system's relevance to Wilmington's housing stock replacement needs, the City's support for CLT/SIP construction innovation, and the Claymont Hybrid demonstration project.</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AA6600"/>
                <w:sz w:val="19"/>
                <w:szCs w:val="19"/>
              </w:rPr>
              <w:t xml:space="preserve">Expected</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2"/>
                <w:szCs w:val="22"/>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Governor's Office letter of support (tentative)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If confirmed, this is the strongest possible third letter. On State of Delaware letterhead. Should address statewide housing innovation, CLT/SIP as a Delaware-first construction advance, and Forward Housing's job creation and manufacturing potential.</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AA6600"/>
                <w:sz w:val="19"/>
                <w:szCs w:val="19"/>
              </w:rPr>
              <w:t xml:space="preserve">Tentative</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2"/>
                <w:szCs w:val="22"/>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Rev. Keeling / CB CDC letter of support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On CB CDC letterhead. Should address the community development need Forward Housing addresses, CB CDC's relationship with Merge4Ward, and the system's relevance to faith-based and nonprofit housing developers.</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AA6600"/>
                <w:sz w:val="19"/>
                <w:szCs w:val="19"/>
              </w:rPr>
              <w:t xml:space="preserve">In progress</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2"/>
                <w:szCs w:val="22"/>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Letter submission format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All letters combined into a single PDF, in order: Governor (if confirmed) → Mayor → Rev. Keeling. PDF only — no Word docs.</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C0000"/>
                <w:sz w:val="19"/>
                <w:szCs w:val="19"/>
              </w:rPr>
              <w:t xml:space="preserve">Required</w:t>
            </w:r>
          </w:p>
        </w:tc>
      </w:tr>
    </w:tbl>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73404"/>
          <w:sz w:val="24"/>
          <w:szCs w:val="24"/>
        </w:rPr>
        <w:t xml:space="preserve">Section 5 — Organizational Eligibility Confirmation</w:t>
      </w:r>
    </w:p>
    <w:p>
      <w:pPr>
        <w:spacing w:after="60" w:before="40"/>
      </w:pPr>
      <w:r>
        <w:rPr>
          <w:rFonts w:ascii="Arial" w:cs="Arial" w:eastAsia="Arial" w:hAnsi="Arial"/>
          <w:i/>
          <w:iCs/>
          <w:color w:val="AA6600"/>
          <w:sz w:val="20"/>
          <w:szCs w:val="20"/>
        </w:rPr>
        <w:t xml:space="preserve">Enterprise/Wells Fargo may verify L.E.E.P., Inc.'s organizational status during review.</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3360"/>
        <w:gridCol w:w="1200"/>
      </w:tblGrid>
      <w:tr>
        <w:tc>
          <w:tcPr>
            <w:tcW w:type="dxa" w:w="600"/>
            <w:tcBorders>
              <w:top w:val="single" w:color="999999" w:sz="1"/>
              <w:left w:val="single" w:color="999999" w:sz="1"/>
              <w:bottom w:val="single" w:color="999999" w:sz="1"/>
              <w:right w:val="single" w:color="999999"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4200"/>
            <w:tcBorders>
              <w:top w:val="single" w:color="999999" w:sz="1"/>
              <w:left w:val="single" w:color="999999" w:sz="1"/>
              <w:bottom w:val="single" w:color="999999" w:sz="1"/>
              <w:right w:val="single" w:color="999999"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Item Needed</w:t>
            </w:r>
          </w:p>
        </w:tc>
        <w:tc>
          <w:tcPr>
            <w:tcW w:type="dxa" w:w="3360"/>
            <w:tcBorders>
              <w:top w:val="single" w:color="999999" w:sz="1"/>
              <w:left w:val="single" w:color="999999" w:sz="1"/>
              <w:bottom w:val="single" w:color="999999" w:sz="1"/>
              <w:right w:val="single" w:color="999999"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Detail / Format</w:t>
            </w:r>
          </w:p>
        </w:tc>
        <w:tc>
          <w:tcPr>
            <w:tcW w:type="dxa" w:w="1200"/>
            <w:tcBorders>
              <w:top w:val="single" w:color="999999" w:sz="1"/>
              <w:left w:val="single" w:color="999999" w:sz="1"/>
              <w:bottom w:val="single" w:color="999999" w:sz="1"/>
              <w:right w:val="single" w:color="999999"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2"/>
                <w:szCs w:val="22"/>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Organization type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Please confirm: Is L.E.E.P., Inc. a 501(c)(3) nonprofit, a mission-oriented for-profit, or another entity type? The application requires selection of one category.</w:t>
            </w:r>
          </w:p>
        </w:tc>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C0000"/>
                <w:sz w:val="19"/>
                <w:szCs w:val="19"/>
              </w:rPr>
              <w:t xml:space="preserve">Required</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2"/>
                <w:szCs w:val="22"/>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501(c)(3) determination letter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If L.E.E.P. is a 501(c)(3): confirm the determination letter is available if requested during review</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AA6600"/>
                <w:sz w:val="19"/>
                <w:szCs w:val="19"/>
              </w:rPr>
              <w:t xml:space="preserve">Confirm</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2"/>
                <w:szCs w:val="22"/>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EIN / Tax 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May be required on the budget template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AA6600"/>
                <w:sz w:val="19"/>
                <w:szCs w:val="19"/>
              </w:rPr>
              <w:t xml:space="preserve">Confirm</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2"/>
                <w:szCs w:val="22"/>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Community type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application asks: Rural / Urban / Suburban / Tribal. Wilmington is Urban — please confirm this applies to L.E.E.P.'s primary service area.</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AA6600"/>
                <w:sz w:val="19"/>
                <w:szCs w:val="19"/>
              </w:rPr>
              <w:t xml:space="preserve">Confirm</w:t>
            </w:r>
          </w:p>
        </w:tc>
      </w:tr>
    </w:tbl>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73404"/>
          <w:sz w:val="24"/>
          <w:szCs w:val="24"/>
        </w:rPr>
        <w:t xml:space="preserve">Section 6 — Claymont Hybrid Project Documentation</w:t>
      </w:r>
    </w:p>
    <w:p>
      <w:pPr>
        <w:spacing w:after="60" w:before="40"/>
      </w:pPr>
      <w:r>
        <w:rPr>
          <w:rFonts w:ascii="Arial" w:cs="Arial" w:eastAsia="Arial" w:hAnsi="Arial"/>
          <w:i/>
          <w:iCs/>
          <w:color w:val="AA6600"/>
          <w:sz w:val="20"/>
          <w:szCs w:val="20"/>
        </w:rPr>
        <w:t xml:space="preserve">The application asks for demonstrated evidence of the innovation. The Claymont Hybrid (AE24-002) is our primary proof of concept. Please confirm the following are available if requested.</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3360"/>
        <w:gridCol w:w="1200"/>
      </w:tblGrid>
      <w:tr>
        <w:tc>
          <w:tcPr>
            <w:tcW w:type="dxa" w:w="600"/>
            <w:tcBorders>
              <w:top w:val="single" w:color="999999" w:sz="1"/>
              <w:left w:val="single" w:color="999999" w:sz="1"/>
              <w:bottom w:val="single" w:color="999999" w:sz="1"/>
              <w:right w:val="single" w:color="999999"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4200"/>
            <w:tcBorders>
              <w:top w:val="single" w:color="999999" w:sz="1"/>
              <w:left w:val="single" w:color="999999" w:sz="1"/>
              <w:bottom w:val="single" w:color="999999" w:sz="1"/>
              <w:right w:val="single" w:color="999999"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Item Needed</w:t>
            </w:r>
          </w:p>
        </w:tc>
        <w:tc>
          <w:tcPr>
            <w:tcW w:type="dxa" w:w="3360"/>
            <w:tcBorders>
              <w:top w:val="single" w:color="999999" w:sz="1"/>
              <w:left w:val="single" w:color="999999" w:sz="1"/>
              <w:bottom w:val="single" w:color="999999" w:sz="1"/>
              <w:right w:val="single" w:color="999999"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Detail / Format</w:t>
            </w:r>
          </w:p>
        </w:tc>
        <w:tc>
          <w:tcPr>
            <w:tcW w:type="dxa" w:w="1200"/>
            <w:tcBorders>
              <w:top w:val="single" w:color="999999" w:sz="1"/>
              <w:left w:val="single" w:color="999999" w:sz="1"/>
              <w:bottom w:val="single" w:color="999999" w:sz="1"/>
              <w:right w:val="single" w:color="999999" w:sz="1"/>
            </w:tcBorders>
            <w:shd w:fill="196B23"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2"/>
                <w:szCs w:val="22"/>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Permit application confirmation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Confirm that the foundation permit for 1316–1324 N. Claymont St. has been submitted to the City of Wilmington AHJ — this is the primary proof-of-concept evidence cited in the application.</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AA6600"/>
                <w:sz w:val="19"/>
                <w:szCs w:val="19"/>
              </w:rPr>
              <w:t xml:space="preserve">Confirm</w:t>
            </w:r>
          </w:p>
        </w:tc>
      </w:tr>
      <w:tr>
        <w:tc>
          <w:tcPr>
            <w:tcW w:type="dxa" w:w="6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sz w:val="22"/>
                <w:szCs w:val="22"/>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Site control documentation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Confirm L.E.E.P. has site control on the Claymont Street assemblage — may be requested during due diligence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AA6600"/>
                <w:sz w:val="19"/>
                <w:szCs w:val="19"/>
              </w:rPr>
              <w:t xml:space="preserve">Confirm</w:t>
            </w:r>
          </w:p>
        </w:tc>
      </w:tr>
    </w:tbl>
    <w:p>
      <w:pPr>
        <w:pBdr>
          <w:bottom w:val="single" w:color="196B23" w:sz="8" w:space="1"/>
        </w:pBdr>
        <w:spacing w:after="140" w:before="140"/>
      </w:pPr>
      <w:r>
        <w:t xml:space="preserve"/>
      </w:r>
    </w:p>
    <w:p>
      <w:pPr>
        <w:spacing w:after="60" w:before="60"/>
      </w:pPr>
      <w:r>
        <w:rPr>
          <w:rFonts w:ascii="Arial" w:cs="Arial" w:eastAsia="Arial" w:hAnsi="Arial"/>
          <w:color w:val="555555"/>
          <w:sz w:val="22"/>
          <w:szCs w:val="22"/>
        </w:rPr>
        <w:t xml:space="preserve">Questions? Contact David Ainsworth directly: david@aubynarch.com</w:t>
      </w:r>
    </w:p>
    <w:p>
      <w:pPr>
        <w:spacing w:after="60" w:before="60"/>
      </w:pPr>
      <w:r>
        <w:rPr>
          <w:rFonts w:ascii="Arial" w:cs="Arial" w:eastAsia="Arial" w:hAnsi="Arial"/>
          <w:color w:val="555555"/>
          <w:sz w:val="22"/>
          <w:szCs w:val="22"/>
        </w:rPr>
        <w:t xml:space="preserve">Thank you, Gwen — this application represents a major opportunity for Forward Housing and for L.E.E.P.'s role in leading it. We appreciate your partnership.</w:t>
      </w:r>
    </w:p>
    <w:p>
      <w:pPr>
        <w:pBdr>
          <w:bottom w:val="single" w:color="196B23" w:sz="8" w:space="1"/>
        </w:pBdr>
        <w:spacing w:after="140" w:before="140"/>
      </w:pPr>
      <w:r>
        <w:t xml:space="preserve"/>
      </w:r>
    </w:p>
    <w:p>
      <w:pPr>
        <w:spacing w:before="100"/>
        <w:jc w:val="center"/>
      </w:pPr>
      <w:r>
        <w:rPr>
          <w:rFonts w:ascii="Arial" w:cs="Arial" w:eastAsia="Arial" w:hAnsi="Arial"/>
          <w:color w:val="555555"/>
          <w:sz w:val="18"/>
          <w:szCs w:val="18"/>
        </w:rPr>
        <w:t xml:space="preserve">Forward Housing by Merge4Ward  ·  L.E.E.P., Inc. Lead Applicant  ·  Deadline: May 15,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2026-05-05T23:15:21.512Z</dcterms:created>
  <dcterms:modified xsi:type="dcterms:W3CDTF">2026-05-05T23:15:21.512Z</dcterms:modified>
</cp:coreProperties>
</file>

<file path=docProps/custom.xml><?xml version="1.0" encoding="utf-8"?>
<Properties xmlns="http://schemas.openxmlformats.org/officeDocument/2006/custom-properties" xmlns:vt="http://schemas.openxmlformats.org/officeDocument/2006/docPropsVTypes"/>
</file>