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M4Di — Merge 4 Development Institute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Wells Fargo / Enterprise Housing Affordability Breakthrough Challenge — 2026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85FA5"/>
          <w:sz w:val="36"/>
          <w:szCs w:val="36"/>
        </w:rPr>
        <w:t xml:space="preserve">Information Request: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C447C"/>
          <w:sz w:val="30"/>
          <w:szCs w:val="30"/>
        </w:rPr>
        <w:t xml:space="preserve">Central Baptist CDC — Lead Applicant</w:t>
      </w:r>
    </w:p>
    <w:p>
      <w:pPr>
        <w:spacing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for: Dr. Rev. Keeling  ·  From: David Ainsworth, AIA  ·  May 2026</w:t>
      </w:r>
    </w:p>
    <w:p>
      <w:pPr>
        <w:pBdr>
          <w:bottom w:val="single" w:color="185FA5" w:sz="8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M4Di — Merge 4 Development Institute is applying to the Wells Fargo / Enterprise Housing Affordability Breakthrough Challenge, a national competition that awards five organizations each with $2 million in grants plus technical assistance and national peer learning. The grant would fund the Phase 1 web application build of M4Di's Operational Intelligence (OI) Tool — the predevelopment cost intelligence platform currently in active use on community development projects in Delaware and the Mid-Atlantic region.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Central Baptist CDC is the lead 501(c)(3) applicant for this grant, with M4Di operating as a program under CB CDC's fiscal sponsorship. The application requires specific organizational information about CB CDC as the lead entity. We are requesting your assistance in supplying the items below.</w:t>
      </w:r>
    </w:p>
    <w:p>
      <w:pPr>
        <w:pBdr>
          <w:bottom w:val="single" w:color="185FA5" w:sz="8" w:space="1"/>
        </w:pBdr>
        <w:spacing w:after="140" w:before="1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Information Required from CB CDC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CC0000"/>
          <w:sz w:val="20"/>
          <w:szCs w:val="20"/>
        </w:rPr>
        <w:t xml:space="preserve">Please return all items to david@aubynarch.com no later than May 9, 2026.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⚠  APPLICATION DEADLINE: May 15, 2026 — 11:59 PM 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Please return all items below to David Ainsworth (david@aubynarch.com) no later than May 9, 2026 to allow time for final review and submission.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Section 1 — Organizational Contact Information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AA6600"/>
          <w:sz w:val="20"/>
          <w:szCs w:val="20"/>
        </w:rPr>
        <w:t xml:space="preserve">These fields appear directly in the application form. Exact legal language required.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360"/>
        <w:gridCol w:w="12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Needed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Format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Legal name of organization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Must be CB CDC's full registered legal name — not an acronym or DBA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Organization address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Street address, city, state, ZIP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Organization website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URL (e.g., https://cbcdc.org)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Primary contact first and last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person submitting / responsible for the application on CB CDC's behalf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Primary contact email address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Must be an active monitored 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Primary contact title / 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Official CB CDC 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Required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Section 2 — Staffing Information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AA6600"/>
          <w:sz w:val="20"/>
          <w:szCs w:val="20"/>
        </w:rPr>
        <w:t xml:space="preserve">The application asks for current CB CDC employee counts. These must reflect CB CDC's actual staffing — not M4Di's.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360"/>
        <w:gridCol w:w="12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Needed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Format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Number of full-time employees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Current FTE count for CB CDC as an organization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Number of part-time employees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Current PTE count for CB CDC as an organization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Required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Section 3 — Letter of Support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AA6600"/>
          <w:sz w:val="20"/>
          <w:szCs w:val="20"/>
        </w:rPr>
        <w:t xml:space="preserve">The application requires a minimum of one letter of support and accepts up to three. CB CDC's letter should speak to the community need M4Di addresses and CB CDC's role as fiscal sponsor.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360"/>
        <w:gridCol w:w="12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Needed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Format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Letter of support from CB CDC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 CB CDC letterhead, signed by Dr. Rev. Keeling. Should address: (1) CB CDC's fiscal sponsorship relationship with M4Di, (2) the community development need M4Di's OI Tool addresses in Wilmington and the Mid-Atlantic, (3) CB CDC's confidence in M4Di's team and methodology.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Letter format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PDF, on official letterhead. Combine with any other letters into one PDF document before submission.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Required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C447C"/>
          <w:sz w:val="24"/>
          <w:szCs w:val="24"/>
        </w:rPr>
        <w:t xml:space="preserve">Section 4 — Fiscal Sponsorship Confirmation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AA6600"/>
          <w:sz w:val="20"/>
          <w:szCs w:val="20"/>
        </w:rPr>
        <w:t xml:space="preserve">Enterprise/Wells Fargo may verify the fiscal sponsorship relationship. Please confirm the items below are in place.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360"/>
        <w:gridCol w:w="12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Needed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Format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Fiscal sponsorship agreement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Confirm that the CB CDC / M4Di fiscal sponsorship agreement is current and executed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CB CDC 501(c)(3) determination letter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Available if requested by Enterprise/Wells Fargo during review — confirm CB CDC can produce on short notice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6600"/>
                <w:sz w:val="19"/>
                <w:szCs w:val="19"/>
              </w:rPr>
              <w:t xml:space="preserve">Confirm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EIN / Tax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May be required on the budget template — confirm CB CDC's EIN is 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6600"/>
                <w:sz w:val="19"/>
                <w:szCs w:val="19"/>
              </w:rPr>
              <w:t xml:space="preserve">Confirm</w:t>
            </w:r>
          </w:p>
        </w:tc>
      </w:tr>
    </w:tbl>
    <w:p>
      <w:pPr>
        <w:pBdr>
          <w:bottom w:val="single" w:color="185FA5" w:sz="8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Questions? Contact David Ainsworth directly: david@aubynarch.com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Thank you for your partnership and support of this application.</w:t>
      </w:r>
    </w:p>
    <w:p>
      <w:pPr>
        <w:pBdr>
          <w:bottom w:val="single" w:color="185FA5" w:sz="8" w:space="1"/>
        </w:pBdr>
        <w:spacing w:after="140" w:before="140"/>
      </w:pPr>
      <w:r>
        <w:t xml:space="preserve"/>
      </w:r>
    </w:p>
    <w:p>
      <w:pPr>
        <w:spacing w:before="1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M4Di · Merge 4 Development Institute · Wilmington, Delaware · m4di.org  |  Deadline: May 15,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2026-05-05T23:15:21.467Z</dcterms:created>
  <dcterms:modified xsi:type="dcterms:W3CDTF">2026-05-05T23:15:21.481Z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