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DECEA" w:val="clear"/>
            <w:tcMar>
              <w:top w:type="dxa" w:w="140"/>
              <w:left w:type="dxa" w:w="200"/>
              <w:bottom w:type="dxa" w:w="140"/>
              <w:right w:type="dxa" w:w="200"/>
            </w:tcMar>
          </w:tcPr>
          <w:p>
            <w:r>
              <w:rPr>
                <w:rFonts w:ascii="Arial" w:cs="Arial" w:eastAsia="Arial" w:hAnsi="Arial"/>
                <w:b/>
                <w:bCs/>
                <w:color w:val="CC0000"/>
                <w:sz w:val="21"/>
                <w:szCs w:val="21"/>
              </w:rPr>
              <w:t xml:space="preserve">DRAFT FOR ATTORNEY REVIEW ONLY — Not for execution. This document has been prepared by M4Di staff as a working draft for review and revision by licensed legal counsel. It does not constitute legal advice and must not be executed without attorney review and approval. Several parties listed below are entities not yet legally formed — attorney review of entity formation obligations is specifically required.</w:t>
            </w:r>
          </w:p>
        </w:tc>
      </w:tr>
    </w:tbl>
    <w:p>
      <w:pPr>
        <w:spacing w:after="0" w:before="160"/>
      </w:pPr>
      <w:r>
        <w:t xml:space="preserve"/>
      </w:r>
    </w:p>
    <w:p>
      <w:pPr>
        <w:spacing w:after="80" w:before="160"/>
        <w:jc w:val="center"/>
      </w:pPr>
      <w:r>
        <w:rPr>
          <w:rFonts w:ascii="Arial" w:cs="Arial" w:eastAsia="Arial" w:hAnsi="Arial"/>
          <w:b/>
          <w:bCs/>
          <w:color w:val="000000"/>
          <w:sz w:val="32"/>
          <w:szCs w:val="32"/>
        </w:rPr>
        <w:t xml:space="preserve">MULTI-PARTY COLLABORATION AGREEMENT</w:t>
      </w:r>
    </w:p>
    <w:p>
      <w:pPr>
        <w:spacing w:after="80"/>
        <w:jc w:val="center"/>
      </w:pPr>
      <w:r>
        <w:rPr>
          <w:rFonts w:ascii="Arial" w:cs="Arial" w:eastAsia="Arial" w:hAnsi="Arial"/>
          <w:b/>
          <w:bCs/>
          <w:color w:val="196B23"/>
          <w:sz w:val="26"/>
          <w:szCs w:val="26"/>
        </w:rPr>
        <w:t xml:space="preserve">Forward Housing by Merge4Ward</w:t>
      </w:r>
    </w:p>
    <w:p>
      <w:pPr>
        <w:spacing w:after="160"/>
        <w:jc w:val="center"/>
      </w:pPr>
      <w:r>
        <w:rPr>
          <w:rFonts w:ascii="Arial" w:cs="Arial" w:eastAsia="Arial" w:hAnsi="Arial"/>
          <w:color w:val="444444"/>
          <w:sz w:val="22"/>
          <w:szCs w:val="22"/>
        </w:rPr>
        <w:t xml:space="preserve">Grant Application, Entity Formation, and Program Collaboration</w:t>
      </w:r>
    </w:p>
    <w:p>
      <w:pPr>
        <w:pBdr>
          <w:bottom w:val="single" w:color="196B23" w:sz="6" w:space="1"/>
        </w:pBdr>
        <w:spacing w:after="120" w:before="120"/>
      </w:pPr>
      <w:r>
        <w:t xml:space="preserve"/>
      </w:r>
    </w:p>
    <w:p>
      <w:pPr>
        <w:spacing w:after="80" w:before="160"/>
      </w:pPr>
      <w:r>
        <w:rPr>
          <w:rFonts w:ascii="Arial" w:cs="Arial" w:eastAsia="Arial" w:hAnsi="Arial"/>
          <w:b/>
          <w:bCs/>
          <w:sz w:val="22"/>
          <w:szCs w:val="22"/>
        </w:rPr>
        <w:t xml:space="preserve">PARTIES</w:t>
      </w:r>
    </w:p>
    <w:p>
      <w:pPr>
        <w:spacing w:after="80" w:before="80"/>
      </w:pPr>
      <w:r>
        <w:rPr>
          <w:rFonts w:ascii="Arial" w:cs="Arial" w:eastAsia="Arial" w:hAnsi="Arial"/>
          <w:sz w:val="22"/>
          <w:szCs w:val="22"/>
        </w:rPr>
        <w:t xml:space="preserve">This Multi-Party Collaboration Agreement (the "Agreement") is entered into as of </w:t>
      </w:r>
      <w:r>
        <w:rPr>
          <w:rFonts w:ascii="Arial" w:cs="Arial" w:eastAsia="Arial" w:hAnsi="Arial"/>
          <w:i/>
          <w:iCs/>
          <w:color w:val="185FA5"/>
          <w:sz w:val="22"/>
          <w:szCs w:val="22"/>
        </w:rPr>
        <w:t xml:space="preserve">[DATE]</w:t>
      </w:r>
      <w:r>
        <w:rPr>
          <w:rFonts w:ascii="Arial" w:cs="Arial" w:eastAsia="Arial" w:hAnsi="Arial"/>
          <w:sz w:val="22"/>
          <w:szCs w:val="22"/>
        </w:rPr>
        <w:t xml:space="preserve"> ("Effective Date"), by and among the following parties:</w:t>
      </w:r>
    </w:p>
    <w:p>
      <w:pPr>
        <w:spacing w:after="40" w:before="120"/>
        <w:ind w:left="360"/>
      </w:pPr>
      <w:r>
        <w:rPr>
          <w:rFonts w:ascii="Arial" w:cs="Arial" w:eastAsia="Arial" w:hAnsi="Arial"/>
          <w:b/>
          <w:bCs/>
          <w:sz w:val="22"/>
          <w:szCs w:val="22"/>
        </w:rPr>
        <w:t xml:space="preserve">PARTY 1 — L.E.E.P., Inc.</w:t>
      </w:r>
    </w:p>
    <w:p>
      <w:pPr>
        <w:spacing w:after="80" w:before="60"/>
        <w:ind w:left="360"/>
      </w:pPr>
      <w:r>
        <w:rPr>
          <w:rFonts w:ascii="Arial" w:cs="Arial" w:eastAsia="Arial" w:hAnsi="Arial"/>
          <w:i/>
          <w:iCs/>
          <w:color w:val="185FA5"/>
          <w:sz w:val="22"/>
          <w:szCs w:val="22"/>
        </w:rPr>
        <w:t xml:space="preserve">[L.E.E.P., Inc. legal entity type — confirm 501(c)(3) or for-profit with attorney]</w:t>
      </w:r>
    </w:p>
    <w:p>
      <w:pPr>
        <w:spacing w:after="80" w:before="60"/>
        <w:ind w:left="360"/>
      </w:pPr>
      <w:r>
        <w:rPr>
          <w:rFonts w:ascii="Arial" w:cs="Arial" w:eastAsia="Arial" w:hAnsi="Arial"/>
          <w:sz w:val="22"/>
          <w:szCs w:val="22"/>
        </w:rPr>
        <w:t xml:space="preserve">with its principal place of business at </w:t>
      </w:r>
    </w:p>
    <w:p>
      <w:pPr>
        <w:spacing w:after="80" w:before="60"/>
        <w:ind w:left="360"/>
      </w:pPr>
      <w:r>
        <w:rPr>
          <w:rFonts w:ascii="Arial" w:cs="Arial" w:eastAsia="Arial" w:hAnsi="Arial"/>
          <w:i/>
          <w:iCs/>
          <w:color w:val="185FA5"/>
          <w:sz w:val="22"/>
          <w:szCs w:val="22"/>
        </w:rPr>
        <w:t xml:space="preserve">[L.E.E.P., Inc. address — confirm with Gwenevere Motley]</w:t>
      </w:r>
    </w:p>
    <w:p>
      <w:pPr>
        <w:spacing w:after="80" w:before="60"/>
        <w:ind w:left="360"/>
      </w:pPr>
      <w:r>
        <w:rPr>
          <w:rFonts w:ascii="Arial" w:cs="Arial" w:eastAsia="Arial" w:hAnsi="Arial"/>
          <w:sz w:val="22"/>
          <w:szCs w:val="22"/>
        </w:rPr>
        <w:t xml:space="preserve">represented by Gwenevere Motley ("L.E.E.P."). L.E.E.P. serves as lead applicant for the Wells Fargo / Enterprise Housing Affordability Breakthrough Challenge grant application and as project owner for the Claymont Hybrid Townhouse demonstration project (AE24-002).</w:t>
      </w:r>
    </w:p>
    <w:p>
      <w:pPr>
        <w:spacing w:after="40" w:before="120"/>
        <w:ind w:left="360"/>
      </w:pPr>
      <w:r>
        <w:rPr>
          <w:rFonts w:ascii="Arial" w:cs="Arial" w:eastAsia="Arial" w:hAnsi="Arial"/>
          <w:b/>
          <w:bCs/>
          <w:sz w:val="22"/>
          <w:szCs w:val="22"/>
        </w:rPr>
        <w:t xml:space="preserve">PARTY 2 — Gwenevere Motley [LLC] (To Be 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E6F1FB" w:val="clear"/>
            <w:tcMar>
              <w:top w:type="dxa" w:w="140"/>
              <w:left w:type="dxa" w:w="200"/>
              <w:bottom w:type="dxa" w:w="140"/>
              <w:right w:type="dxa" w:w="200"/>
            </w:tcMar>
          </w:tcPr>
          <w:p>
            <w:r>
              <w:rPr>
                <w:rFonts w:ascii="Arial" w:cs="Arial" w:eastAsia="Arial" w:hAnsi="Arial"/>
                <w:b/>
                <w:bCs/>
                <w:color w:val="185FA5"/>
                <w:sz w:val="21"/>
                <w:szCs w:val="21"/>
              </w:rPr>
              <w:t xml:space="preserve">ATTORNEY NOTE: Gwenevere Motley intends to form a separate for-profit LLC to serve as her ownership vehicle in Merge4Ward LLC, keeping L.E.E.P., Inc. (nonprofit) separate from for-profit development activities. The name and formation jurisdiction of this entity are not yet determined. Attorney review of the appropriate entity structure, IRS implications for L.E.E.P. if Motley participates in both, and timing of formation relative to grant execution is specifically requested.</w:t>
            </w:r>
          </w:p>
        </w:tc>
      </w:tr>
    </w:tbl>
    <w:p>
      <w:pPr>
        <w:spacing w:after="80" w:before="60"/>
        <w:ind w:left="360"/>
      </w:pPr>
      <w:r>
        <w:rPr>
          <w:rFonts w:ascii="Arial" w:cs="Arial" w:eastAsia="Arial" w:hAnsi="Arial"/>
          <w:sz w:val="22"/>
          <w:szCs w:val="22"/>
        </w:rPr>
        <w:t xml:space="preserve">A Delaware limited liability company to be formed by Gwenevere Motley ("Motley LLC"), serving as Motley's ownership and economic participation vehicle in Merge4Ward LLC. Until formed, Gwenevere Motley is a party to this Agreement in her individual capacity, with the intent to assign her rights and obligations to Motley LLC upon formation.</w:t>
      </w:r>
    </w:p>
    <w:p>
      <w:pPr>
        <w:spacing w:after="40" w:before="120"/>
        <w:ind w:left="360"/>
      </w:pPr>
      <w:r>
        <w:rPr>
          <w:rFonts w:ascii="Arial" w:cs="Arial" w:eastAsia="Arial" w:hAnsi="Arial"/>
          <w:b/>
          <w:bCs/>
          <w:sz w:val="22"/>
          <w:szCs w:val="22"/>
        </w:rPr>
        <w:t xml:space="preserve">PARTY 3 — Merge 4 Design LLC</w:t>
      </w:r>
    </w:p>
    <w:p>
      <w:pPr>
        <w:spacing w:after="80" w:before="60"/>
        <w:ind w:left="360"/>
      </w:pPr>
      <w:r>
        <w:rPr>
          <w:rFonts w:ascii="Arial" w:cs="Arial" w:eastAsia="Arial" w:hAnsi="Arial"/>
          <w:sz w:val="22"/>
          <w:szCs w:val="22"/>
        </w:rPr>
        <w:t xml:space="preserve">A Delaware limited liability company with its principal place of business at 215 N. Market Street, Suite 317, Wilmington, DE 19801 ("M4D"), represented by Trevor Knight. M4D is a four-principal architecture and development consulting firm whose principals are Trevor Knight, Leo Lynch, Travis Davis, and David C. Ainsworth, AIA.</w:t>
      </w:r>
    </w:p>
    <w:p>
      <w:pPr>
        <w:spacing w:after="40" w:before="120"/>
        <w:ind w:left="360"/>
      </w:pPr>
      <w:r>
        <w:rPr>
          <w:rFonts w:ascii="Arial" w:cs="Arial" w:eastAsia="Arial" w:hAnsi="Arial"/>
          <w:b/>
          <w:bCs/>
          <w:sz w:val="22"/>
          <w:szCs w:val="22"/>
        </w:rPr>
        <w:t xml:space="preserve">PARTY 4 — Merge4Ward LLC (To Be 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E6F1FB" w:val="clear"/>
            <w:tcMar>
              <w:top w:type="dxa" w:w="140"/>
              <w:left w:type="dxa" w:w="200"/>
              <w:bottom w:type="dxa" w:w="140"/>
              <w:right w:type="dxa" w:w="200"/>
            </w:tcMar>
          </w:tcPr>
          <w:p>
            <w:r>
              <w:rPr>
                <w:rFonts w:ascii="Arial" w:cs="Arial" w:eastAsia="Arial" w:hAnsi="Arial"/>
                <w:b/>
                <w:bCs/>
                <w:color w:val="185FA5"/>
                <w:sz w:val="21"/>
                <w:szCs w:val="21"/>
              </w:rPr>
              <w:t xml:space="preserve">ATTORNEY NOTE: Merge4Ward LLC has not yet been formed. This Agreement contemplates its formation as a Delaware LLC with the following anticipated members: Merge 4 Design LLC and Motley LLC (and/or Gwenevere Motley individually pending Motley LLC formation). Attorney review of the appropriate ownership structure, operating agreement requirements, and priority of formation relative to grant execution is specifically requested.</w:t>
            </w:r>
          </w:p>
        </w:tc>
      </w:tr>
    </w:tbl>
    <w:p>
      <w:pPr>
        <w:spacing w:after="80" w:before="60"/>
        <w:ind w:left="360"/>
      </w:pPr>
      <w:r>
        <w:rPr>
          <w:rFonts w:ascii="Arial" w:cs="Arial" w:eastAsia="Arial" w:hAnsi="Arial"/>
          <w:sz w:val="22"/>
          <w:szCs w:val="22"/>
        </w:rPr>
        <w:t xml:space="preserve">A Delaware limited liability company to be formed by M4D and Motley LLC ("Merge4Ward"), serving as the operating entity for the Forward Housing construction system, grant management, and program delivery. Until formed, M4D and Motley LLC/Gwenevere Motley are parties to this Agreement on Merge4Ward's behalf.</w:t>
      </w:r>
    </w:p>
    <w:p>
      <w:pPr>
        <w:spacing w:after="40" w:before="120"/>
        <w:ind w:left="360"/>
      </w:pPr>
      <w:r>
        <w:rPr>
          <w:rFonts w:ascii="Arial" w:cs="Arial" w:eastAsia="Arial" w:hAnsi="Arial"/>
          <w:b/>
          <w:bCs/>
          <w:sz w:val="22"/>
          <w:szCs w:val="22"/>
        </w:rPr>
        <w:t xml:space="preserve">RELATED PARTY NOTE — Aubyn Architecture LLC</w:t>
      </w:r>
    </w:p>
    <w:p>
      <w:pPr>
        <w:spacing w:after="80" w:before="60"/>
        <w:ind w:left="360"/>
      </w:pPr>
      <w:r>
        <w:rPr>
          <w:rFonts w:ascii="Arial" w:cs="Arial" w:eastAsia="Arial" w:hAnsi="Arial"/>
          <w:sz w:val="22"/>
          <w:szCs w:val="22"/>
        </w:rPr>
        <w:t xml:space="preserve">Aubyn Architecture LLC (David C. Ainsworth, AIA, Delaware License RA-0026498-A) is not a named party to this Agreement but serves as Architect of Record (AOR) for the Claymont Hybrid Townhouse project (AE24-002) and may serve as AOR on future Forward Housing projects under separate AIA subconsultant agreements. Aubyn Architecture's AOR services are governed by project-specific AIA C401 subconsultant agreements, not by this Agreement.</w:t>
      </w:r>
    </w:p>
    <w:p>
      <w:pPr>
        <w:pBdr>
          <w:bottom w:val="single" w:color="196B23" w:sz="6" w:space="1"/>
        </w:pBdr>
        <w:spacing w:after="120" w:before="120"/>
      </w:pPr>
      <w:r>
        <w:t xml:space="preserve"/>
      </w:r>
    </w:p>
    <w:p>
      <w:pPr>
        <w:pBdr>
          <w:bottom w:val="single" w:color="CCCCCC" w:sz="3" w:space="1"/>
        </w:pBdr>
        <w:spacing w:after="80" w:before="240"/>
      </w:pPr>
      <w:r>
        <w:rPr>
          <w:rFonts w:ascii="Arial" w:cs="Arial" w:eastAsia="Arial" w:hAnsi="Arial"/>
          <w:b/>
          <w:bCs/>
          <w:sz w:val="22"/>
          <w:szCs w:val="22"/>
        </w:rPr>
        <w:t xml:space="preserve">1.  </w:t>
      </w:r>
      <w:r>
        <w:rPr>
          <w:rFonts w:ascii="Arial" w:cs="Arial" w:eastAsia="Arial" w:hAnsi="Arial"/>
          <w:b/>
          <w:bCs/>
          <w:sz w:val="22"/>
          <w:szCs w:val="22"/>
        </w:rPr>
        <w:t xml:space="preserve">RECITALS</w:t>
      </w:r>
    </w:p>
    <w:p>
      <w:pPr>
        <w:spacing w:after="80" w:before="60"/>
        <w:ind w:left="360"/>
      </w:pPr>
      <w:r>
        <w:rPr>
          <w:rFonts w:ascii="Arial" w:cs="Arial" w:eastAsia="Arial" w:hAnsi="Arial"/>
          <w:sz w:val="22"/>
          <w:szCs w:val="22"/>
        </w:rPr>
        <w:t xml:space="preserve">WHEREAS, the parties share the common goal of developing, demonstrating, and scaling the Forward Housing by Merge4Ward CLT/SIP hybrid construction system as an innovative, replicable approach to community housing replacement in Delaware and the Mid-Atlantic region;</w:t>
      </w:r>
    </w:p>
    <w:p>
      <w:pPr>
        <w:spacing w:after="80" w:before="60"/>
        <w:ind w:left="360"/>
      </w:pPr>
      <w:r>
        <w:rPr>
          <w:rFonts w:ascii="Arial" w:cs="Arial" w:eastAsia="Arial" w:hAnsi="Arial"/>
          <w:sz w:val="22"/>
          <w:szCs w:val="22"/>
        </w:rPr>
        <w:t xml:space="preserve">WHEREAS, L.E.E.P., Inc. has applied to the Wells Fargo / Enterprise Housing Affordability Breakthrough Challenge (2026 Cycle) as lead applicant, with Merge4Ward and its constituent parties as named implementation partners;</w:t>
      </w:r>
    </w:p>
    <w:p>
      <w:pPr>
        <w:spacing w:after="80" w:before="60"/>
        <w:ind w:left="360"/>
      </w:pPr>
      <w:r>
        <w:rPr>
          <w:rFonts w:ascii="Arial" w:cs="Arial" w:eastAsia="Arial" w:hAnsi="Arial"/>
          <w:sz w:val="22"/>
          <w:szCs w:val="22"/>
        </w:rPr>
        <w:t xml:space="preserve">WHEREAS, the Claymont Hybrid Townhouse project (AE24-002) at 1316–1324 N. Claymont Street, Wilmington, Delaware 19802 serves as the proof-of-concept demonstration for the Forward Housing system;</w:t>
      </w:r>
    </w:p>
    <w:p>
      <w:pPr>
        <w:spacing w:after="80" w:before="60"/>
        <w:ind w:left="360"/>
      </w:pPr>
      <w:r>
        <w:rPr>
          <w:rFonts w:ascii="Arial" w:cs="Arial" w:eastAsia="Arial" w:hAnsi="Arial"/>
          <w:sz w:val="22"/>
          <w:szCs w:val="22"/>
        </w:rPr>
        <w:t xml:space="preserve">WHEREAS, the parties desire to formalize their collaboration with respect to the grant application, entity formation, fund management, roles and responsibilities, and intellectual property ownership;</w:t>
      </w:r>
    </w:p>
    <w:p>
      <w:pPr>
        <w:spacing w:after="80" w:before="60"/>
        <w:ind w:left="360"/>
      </w:pPr>
      <w:r>
        <w:rPr>
          <w:rFonts w:ascii="Arial" w:cs="Arial" w:eastAsia="Arial" w:hAnsi="Arial"/>
          <w:sz w:val="22"/>
          <w:szCs w:val="22"/>
        </w:rPr>
        <w:t xml:space="preserve">NOW, THEREFORE, the parties agree as follows:</w:t>
      </w:r>
    </w:p>
    <w:p>
      <w:pPr>
        <w:pBdr>
          <w:bottom w:val="single" w:color="196B23" w:sz="6" w:space="1"/>
        </w:pBdr>
        <w:spacing w:after="120" w:before="120"/>
      </w:pPr>
      <w:r>
        <w:t xml:space="preserve"/>
      </w:r>
    </w:p>
    <w:p>
      <w:pPr>
        <w:pBdr>
          <w:bottom w:val="single" w:color="CCCCCC" w:sz="3" w:space="1"/>
        </w:pBdr>
        <w:spacing w:after="80" w:before="240"/>
      </w:pPr>
      <w:r>
        <w:rPr>
          <w:rFonts w:ascii="Arial" w:cs="Arial" w:eastAsia="Arial" w:hAnsi="Arial"/>
          <w:b/>
          <w:bCs/>
          <w:sz w:val="22"/>
          <w:szCs w:val="22"/>
        </w:rPr>
        <w:t xml:space="preserve">2.  </w:t>
      </w:r>
      <w:r>
        <w:rPr>
          <w:rFonts w:ascii="Arial" w:cs="Arial" w:eastAsia="Arial" w:hAnsi="Arial"/>
          <w:b/>
          <w:bCs/>
          <w:sz w:val="22"/>
          <w:szCs w:val="22"/>
        </w:rPr>
        <w:t xml:space="preserve">PURPOSE AND SCOPE</w:t>
      </w:r>
    </w:p>
    <w:p>
      <w:pPr>
        <w:spacing w:after="60" w:before="160"/>
        <w:ind w:left="360"/>
      </w:pPr>
      <w:r>
        <w:rPr>
          <w:rFonts w:ascii="Arial" w:cs="Arial" w:eastAsia="Arial" w:hAnsi="Arial"/>
          <w:b/>
          <w:bCs/>
          <w:color w:val="444444"/>
          <w:sz w:val="22"/>
          <w:szCs w:val="22"/>
        </w:rPr>
        <w:t xml:space="preserve">2.1  </w:t>
      </w:r>
      <w:r>
        <w:rPr>
          <w:rFonts w:ascii="Arial" w:cs="Arial" w:eastAsia="Arial" w:hAnsi="Arial"/>
          <w:b/>
          <w:bCs/>
          <w:sz w:val="22"/>
          <w:szCs w:val="22"/>
        </w:rPr>
        <w:t xml:space="preserve">Purpose.</w:t>
      </w:r>
    </w:p>
    <w:p>
      <w:pPr>
        <w:spacing w:after="80" w:before="60"/>
        <w:ind w:left="360"/>
      </w:pPr>
      <w:r>
        <w:rPr>
          <w:rFonts w:ascii="Arial" w:cs="Arial" w:eastAsia="Arial" w:hAnsi="Arial"/>
          <w:sz w:val="22"/>
          <w:szCs w:val="22"/>
        </w:rPr>
        <w:t xml:space="preserve">This Agreement governs the parties' collaboration with respect to: (a) the Forward Housing by Merge4Ward grant application to Wells Fargo / Enterprise Community Partners; (b) the formation of Merge4Ward LLC and Motley LLC; (c) program delivery for the Forward Housing construction system; and (d) management of any grant funds awarded.</w:t>
      </w:r>
    </w:p>
    <w:p>
      <w:pPr>
        <w:spacing w:after="60" w:before="160"/>
        <w:ind w:left="360"/>
      </w:pPr>
      <w:r>
        <w:rPr>
          <w:rFonts w:ascii="Arial" w:cs="Arial" w:eastAsia="Arial" w:hAnsi="Arial"/>
          <w:b/>
          <w:bCs/>
          <w:color w:val="444444"/>
          <w:sz w:val="22"/>
          <w:szCs w:val="22"/>
        </w:rPr>
        <w:t xml:space="preserve">2.2  </w:t>
      </w:r>
      <w:r>
        <w:rPr>
          <w:rFonts w:ascii="Arial" w:cs="Arial" w:eastAsia="Arial" w:hAnsi="Arial"/>
          <w:b/>
          <w:bCs/>
          <w:sz w:val="22"/>
          <w:szCs w:val="22"/>
        </w:rPr>
        <w:t xml:space="preserve">Forward Housing Program.</w:t>
      </w:r>
    </w:p>
    <w:p>
      <w:pPr>
        <w:spacing w:after="80" w:before="60"/>
        <w:ind w:left="360"/>
      </w:pPr>
      <w:r>
        <w:rPr>
          <w:rFonts w:ascii="Arial" w:cs="Arial" w:eastAsia="Arial" w:hAnsi="Arial"/>
          <w:sz w:val="22"/>
          <w:szCs w:val="22"/>
        </w:rPr>
        <w:t xml:space="preserve">The Forward Housing by Merge4Ward program is a hybrid CLT/SIP construction system for community housing, combining cross-laminated timber structural panels with structurally insulated panel envelopes, designed for factory fabrication and urban infill deployment. The program includes the Claymont Hybrid Townhouse demonstration project and the planned multi-site replication initiative described in the grant application.</w:t>
      </w:r>
    </w:p>
    <w:p>
      <w:pPr>
        <w:pBdr>
          <w:bottom w:val="single" w:color="196B23" w:sz="6" w:space="1"/>
        </w:pBdr>
        <w:spacing w:after="120" w:before="120"/>
      </w:pPr>
      <w:r>
        <w:t xml:space="preserve"/>
      </w:r>
    </w:p>
    <w:p>
      <w:pPr>
        <w:pBdr>
          <w:bottom w:val="single" w:color="CCCCCC" w:sz="3" w:space="1"/>
        </w:pBdr>
        <w:spacing w:after="80" w:before="240"/>
      </w:pPr>
      <w:r>
        <w:rPr>
          <w:rFonts w:ascii="Arial" w:cs="Arial" w:eastAsia="Arial" w:hAnsi="Arial"/>
          <w:b/>
          <w:bCs/>
          <w:sz w:val="22"/>
          <w:szCs w:val="22"/>
        </w:rPr>
        <w:t xml:space="preserve">3.  </w:t>
      </w:r>
      <w:r>
        <w:rPr>
          <w:rFonts w:ascii="Arial" w:cs="Arial" w:eastAsia="Arial" w:hAnsi="Arial"/>
          <w:b/>
          <w:bCs/>
          <w:sz w:val="22"/>
          <w:szCs w:val="22"/>
        </w:rPr>
        <w:t xml:space="preserve">ROLES AND RESPONSIBILITIES</w:t>
      </w:r>
    </w:p>
    <w:p>
      <w:pPr>
        <w:spacing w:after="60" w:before="160"/>
        <w:ind w:left="360"/>
      </w:pPr>
      <w:r>
        <w:rPr>
          <w:rFonts w:ascii="Arial" w:cs="Arial" w:eastAsia="Arial" w:hAnsi="Arial"/>
          <w:b/>
          <w:bCs/>
          <w:color w:val="444444"/>
          <w:sz w:val="22"/>
          <w:szCs w:val="22"/>
        </w:rPr>
        <w:t xml:space="preserve">3.1  </w:t>
      </w:r>
      <w:r>
        <w:rPr>
          <w:rFonts w:ascii="Arial" w:cs="Arial" w:eastAsia="Arial" w:hAnsi="Arial"/>
          <w:b/>
          <w:bCs/>
          <w:sz w:val="22"/>
          <w:szCs w:val="22"/>
        </w:rPr>
        <w:t xml:space="preserve">L.E.E.P., Inc.</w:t>
      </w:r>
    </w:p>
    <w:p>
      <w:pPr>
        <w:spacing w:after="80" w:before="60"/>
        <w:ind w:left="360"/>
      </w:pPr>
      <w:r>
        <w:rPr>
          <w:rFonts w:ascii="Arial" w:cs="Arial" w:eastAsia="Arial" w:hAnsi="Arial"/>
          <w:sz w:val="22"/>
          <w:szCs w:val="22"/>
        </w:rPr>
        <w:t xml:space="preserve">L.E.E.P. serves as: (a) lead applicant and grant-receiving entity for the Enterprise/Wells Fargo application; (b) project owner for the Claymont Hybrid Townhouse demonstration project; and (c) community development partner providing site control, community relationships, and mission alignment for Forward Housing projects in Wilmington. L.E.E.P. will receive and administer grant funds subject to the terms of the grant agreement and this Agreement.</w:t>
      </w:r>
    </w:p>
    <w:p>
      <w:pPr>
        <w:spacing w:after="60" w:before="160"/>
        <w:ind w:left="360"/>
      </w:pPr>
      <w:r>
        <w:rPr>
          <w:rFonts w:ascii="Arial" w:cs="Arial" w:eastAsia="Arial" w:hAnsi="Arial"/>
          <w:b/>
          <w:bCs/>
          <w:color w:val="444444"/>
          <w:sz w:val="22"/>
          <w:szCs w:val="22"/>
        </w:rPr>
        <w:t xml:space="preserve">3.2  </w:t>
      </w:r>
      <w:r>
        <w:rPr>
          <w:rFonts w:ascii="Arial" w:cs="Arial" w:eastAsia="Arial" w:hAnsi="Arial"/>
          <w:b/>
          <w:bCs/>
          <w:sz w:val="22"/>
          <w:szCs w:val="22"/>
        </w:rPr>
        <w:t xml:space="preserve">Merge 4 Design LLC.</w:t>
      </w:r>
    </w:p>
    <w:p>
      <w:pPr>
        <w:spacing w:after="80" w:before="60"/>
        <w:ind w:left="360"/>
      </w:pPr>
      <w:r>
        <w:rPr>
          <w:rFonts w:ascii="Arial" w:cs="Arial" w:eastAsia="Arial" w:hAnsi="Arial"/>
          <w:sz w:val="22"/>
          <w:szCs w:val="22"/>
        </w:rPr>
        <w:t xml:space="preserve">M4D serves as: (a) lead architecture and development consulting firm for Forward Housing program delivery; (b) design lead for the Claymont Hybrid Townhouse project; (c) source of the M4Di predevelopment cost intelligence methodology applied to Forward Housing projects; and (d) managing member of Merge4Ward LLC upon formation.</w:t>
      </w:r>
    </w:p>
    <w:p>
      <w:pPr>
        <w:spacing w:after="60" w:before="160"/>
        <w:ind w:left="360"/>
      </w:pPr>
      <w:r>
        <w:rPr>
          <w:rFonts w:ascii="Arial" w:cs="Arial" w:eastAsia="Arial" w:hAnsi="Arial"/>
          <w:b/>
          <w:bCs/>
          <w:color w:val="444444"/>
          <w:sz w:val="22"/>
          <w:szCs w:val="22"/>
        </w:rPr>
        <w:t xml:space="preserve">3.3  </w:t>
      </w:r>
      <w:r>
        <w:rPr>
          <w:rFonts w:ascii="Arial" w:cs="Arial" w:eastAsia="Arial" w:hAnsi="Arial"/>
          <w:b/>
          <w:bCs/>
          <w:sz w:val="22"/>
          <w:szCs w:val="22"/>
        </w:rPr>
        <w:t xml:space="preserve">Gwenevere Motley / Motley LLC.</w:t>
      </w:r>
    </w:p>
    <w:p>
      <w:pPr>
        <w:spacing w:after="80" w:before="60"/>
        <w:ind w:left="360"/>
      </w:pPr>
      <w:r>
        <w:rPr>
          <w:rFonts w:ascii="Arial" w:cs="Arial" w:eastAsia="Arial" w:hAnsi="Arial"/>
          <w:sz w:val="22"/>
          <w:szCs w:val="22"/>
        </w:rPr>
        <w:t xml:space="preserve">Motley/Motley LLC serves as: (a) co-founder and equity partner in Merge4Ward LLC; (b) community development liaison between L.E.E.P. and Merge4Ward; and (c) connection to the Governor's office and state-level relationships supporting the Forward Housing initiative.</w:t>
      </w:r>
    </w:p>
    <w:p>
      <w:pPr>
        <w:spacing w:after="60" w:before="160"/>
        <w:ind w:left="360"/>
      </w:pPr>
      <w:r>
        <w:rPr>
          <w:rFonts w:ascii="Arial" w:cs="Arial" w:eastAsia="Arial" w:hAnsi="Arial"/>
          <w:b/>
          <w:bCs/>
          <w:color w:val="444444"/>
          <w:sz w:val="22"/>
          <w:szCs w:val="22"/>
        </w:rPr>
        <w:t xml:space="preserve">3.4  </w:t>
      </w:r>
      <w:r>
        <w:rPr>
          <w:rFonts w:ascii="Arial" w:cs="Arial" w:eastAsia="Arial" w:hAnsi="Arial"/>
          <w:b/>
          <w:bCs/>
          <w:sz w:val="22"/>
          <w:szCs w:val="22"/>
        </w:rPr>
        <w:t xml:space="preserve">Merge4Ward LLC.</w:t>
      </w:r>
    </w:p>
    <w:p>
      <w:pPr>
        <w:spacing w:after="80" w:before="60"/>
        <w:ind w:left="360"/>
      </w:pPr>
      <w:r>
        <w:rPr>
          <w:rFonts w:ascii="Arial" w:cs="Arial" w:eastAsia="Arial" w:hAnsi="Arial"/>
          <w:sz w:val="22"/>
          <w:szCs w:val="22"/>
        </w:rPr>
        <w:t xml:space="preserve">Upon formation, Merge4Ward LLC will serve as: (a) operating entity for Forward Housing program delivery; (b) recipient of grant fund sub-awards from L.E.E.P. for program execution; (c) employer of any program staff; and (d) contracting party for construction services, factory fabrication, and Forward Housing replication projects.</w:t>
      </w:r>
    </w:p>
    <w:p>
      <w:pPr>
        <w:pBdr>
          <w:bottom w:val="single" w:color="196B23" w:sz="6" w:space="1"/>
        </w:pBdr>
        <w:spacing w:after="120" w:before="120"/>
      </w:pPr>
      <w:r>
        <w:t xml:space="preserve"/>
      </w:r>
    </w:p>
    <w:p>
      <w:pPr>
        <w:pBdr>
          <w:bottom w:val="single" w:color="CCCCCC" w:sz="3" w:space="1"/>
        </w:pBdr>
        <w:spacing w:after="80" w:before="240"/>
      </w:pPr>
      <w:r>
        <w:rPr>
          <w:rFonts w:ascii="Arial" w:cs="Arial" w:eastAsia="Arial" w:hAnsi="Arial"/>
          <w:b/>
          <w:bCs/>
          <w:sz w:val="22"/>
          <w:szCs w:val="22"/>
        </w:rPr>
        <w:t xml:space="preserve">4.  </w:t>
      </w:r>
      <w:r>
        <w:rPr>
          <w:rFonts w:ascii="Arial" w:cs="Arial" w:eastAsia="Arial" w:hAnsi="Arial"/>
          <w:b/>
          <w:bCs/>
          <w:sz w:val="22"/>
          <w:szCs w:val="22"/>
        </w:rPr>
        <w:t xml:space="preserve">GRANT FUND MANAGEMENT</w:t>
      </w:r>
    </w:p>
    <w:p>
      <w:pPr>
        <w:spacing w:after="60" w:before="160"/>
        <w:ind w:left="360"/>
      </w:pPr>
      <w:r>
        <w:rPr>
          <w:rFonts w:ascii="Arial" w:cs="Arial" w:eastAsia="Arial" w:hAnsi="Arial"/>
          <w:b/>
          <w:bCs/>
          <w:color w:val="444444"/>
          <w:sz w:val="22"/>
          <w:szCs w:val="22"/>
        </w:rPr>
        <w:t xml:space="preserve">4.1  </w:t>
      </w:r>
      <w:r>
        <w:rPr>
          <w:rFonts w:ascii="Arial" w:cs="Arial" w:eastAsia="Arial" w:hAnsi="Arial"/>
          <w:b/>
          <w:bCs/>
          <w:sz w:val="22"/>
          <w:szCs w:val="22"/>
        </w:rPr>
        <w:t xml:space="preserve">Receipt of Funds.</w:t>
      </w:r>
    </w:p>
    <w:p>
      <w:pPr>
        <w:spacing w:after="80" w:before="60"/>
        <w:ind w:left="360"/>
      </w:pPr>
      <w:r>
        <w:rPr>
          <w:rFonts w:ascii="Arial" w:cs="Arial" w:eastAsia="Arial" w:hAnsi="Arial"/>
          <w:sz w:val="22"/>
          <w:szCs w:val="22"/>
        </w:rPr>
        <w:t xml:space="preserve">Grant funds from the Enterprise/Wells Fargo award, if received, will be paid to L.E.E.P., Inc. as lead applicant. L.E.E.P. will maintain grant funds in a segregated account designated for Forward Housing program use.</w:t>
      </w:r>
    </w:p>
    <w:p>
      <w:pPr>
        <w:spacing w:after="60" w:before="160"/>
        <w:ind w:left="360"/>
      </w:pPr>
      <w:r>
        <w:rPr>
          <w:rFonts w:ascii="Arial" w:cs="Arial" w:eastAsia="Arial" w:hAnsi="Arial"/>
          <w:b/>
          <w:bCs/>
          <w:color w:val="444444"/>
          <w:sz w:val="22"/>
          <w:szCs w:val="22"/>
        </w:rPr>
        <w:t xml:space="preserve">4.2  </w:t>
      </w:r>
      <w:r>
        <w:rPr>
          <w:rFonts w:ascii="Arial" w:cs="Arial" w:eastAsia="Arial" w:hAnsi="Arial"/>
          <w:b/>
          <w:bCs/>
          <w:sz w:val="22"/>
          <w:szCs w:val="22"/>
        </w:rPr>
        <w:t xml:space="preserve">Sub-Award to Merge4Ward.</w:t>
      </w:r>
    </w:p>
    <w:p>
      <w:pPr>
        <w:spacing w:after="80" w:before="60"/>
        <w:ind w:left="360"/>
      </w:pPr>
      <w:r>
        <w:rPr>
          <w:rFonts w:ascii="Arial" w:cs="Arial" w:eastAsia="Arial" w:hAnsi="Arial"/>
          <w:sz w:val="22"/>
          <w:szCs w:val="22"/>
        </w:rPr>
        <w:t xml:space="preserve">L.E.E.P. will sub-award grant funds to Merge4Ward LLC (upon formation) for program execution activities in accordance with the approved budget and grant terms. Sub-award disbursements will require written disbursement requests from Merge4Ward with supporting documentation, and approval by L.E.E.P.'s authorized representative.</w:t>
      </w:r>
    </w:p>
    <w:p>
      <w:pPr>
        <w:spacing w:after="60" w:before="160"/>
        <w:ind w:left="360"/>
      </w:pPr>
      <w:r>
        <w:rPr>
          <w:rFonts w:ascii="Arial" w:cs="Arial" w:eastAsia="Arial" w:hAnsi="Arial"/>
          <w:b/>
          <w:bCs/>
          <w:color w:val="444444"/>
          <w:sz w:val="22"/>
          <w:szCs w:val="22"/>
        </w:rPr>
        <w:t xml:space="preserve">4.3  </w:t>
      </w:r>
      <w:r>
        <w:rPr>
          <w:rFonts w:ascii="Arial" w:cs="Arial" w:eastAsia="Arial" w:hAnsi="Arial"/>
          <w:b/>
          <w:bCs/>
          <w:sz w:val="22"/>
          <w:szCs w:val="22"/>
        </w:rPr>
        <w:t xml:space="preserve">Permitted Uses.</w:t>
      </w:r>
    </w:p>
    <w:p>
      <w:pPr>
        <w:spacing w:after="80" w:before="60"/>
        <w:ind w:left="360"/>
      </w:pPr>
      <w:r>
        <w:rPr>
          <w:rFonts w:ascii="Arial" w:cs="Arial" w:eastAsia="Arial" w:hAnsi="Arial"/>
          <w:sz w:val="22"/>
          <w:szCs w:val="22"/>
        </w:rPr>
        <w:t xml:space="preserve">Grant funds will be used only for purposes approved in the grant budget: contracted developer fees for OI Tool infrastructure, cloud hosting, AI API costs, security audit, and program coordination. No grant funds will be used for party compensation, distributions, or purposes inconsistent with the grant agreement.</w:t>
      </w:r>
    </w:p>
    <w:p>
      <w:pPr>
        <w:spacing w:after="60" w:before="160"/>
        <w:ind w:left="360"/>
      </w:pPr>
      <w:r>
        <w:rPr>
          <w:rFonts w:ascii="Arial" w:cs="Arial" w:eastAsia="Arial" w:hAnsi="Arial"/>
          <w:b/>
          <w:bCs/>
          <w:color w:val="444444"/>
          <w:sz w:val="22"/>
          <w:szCs w:val="22"/>
        </w:rPr>
        <w:t xml:space="preserve">4.4  </w:t>
      </w:r>
      <w:r>
        <w:rPr>
          <w:rFonts w:ascii="Arial" w:cs="Arial" w:eastAsia="Arial" w:hAnsi="Arial"/>
          <w:b/>
          <w:bCs/>
          <w:sz w:val="22"/>
          <w:szCs w:val="22"/>
        </w:rPr>
        <w:t xml:space="preserve">Reporting.</w:t>
      </w:r>
    </w:p>
    <w:p>
      <w:pPr>
        <w:spacing w:after="80" w:before="60"/>
        <w:ind w:left="360"/>
      </w:pPr>
      <w:r>
        <w:rPr>
          <w:rFonts w:ascii="Arial" w:cs="Arial" w:eastAsia="Arial" w:hAnsi="Arial"/>
          <w:sz w:val="22"/>
          <w:szCs w:val="22"/>
        </w:rPr>
        <w:t xml:space="preserve">Merge4Ward will provide L.E.E.P. with quarterly financial and program reports sufficient for L.E.E.P. to fulfill its grantor reporting obligations. L.E.E.P. is responsible for all reporting to Enterprise/Wells Fargo.</w:t>
      </w:r>
    </w:p>
    <w:p>
      <w:pPr>
        <w:pBdr>
          <w:bottom w:val="single" w:color="196B23" w:sz="6" w:space="1"/>
        </w:pBdr>
        <w:spacing w:after="120" w:before="120"/>
      </w:pPr>
      <w:r>
        <w:t xml:space="preserve"/>
      </w:r>
    </w:p>
    <w:p>
      <w:pPr>
        <w:pBdr>
          <w:bottom w:val="single" w:color="CCCCCC" w:sz="3" w:space="1"/>
        </w:pBdr>
        <w:spacing w:after="80" w:before="240"/>
      </w:pPr>
      <w:r>
        <w:rPr>
          <w:rFonts w:ascii="Arial" w:cs="Arial" w:eastAsia="Arial" w:hAnsi="Arial"/>
          <w:b/>
          <w:bCs/>
          <w:sz w:val="22"/>
          <w:szCs w:val="22"/>
        </w:rPr>
        <w:t xml:space="preserve">5.  </w:t>
      </w:r>
      <w:r>
        <w:rPr>
          <w:rFonts w:ascii="Arial" w:cs="Arial" w:eastAsia="Arial" w:hAnsi="Arial"/>
          <w:b/>
          <w:bCs/>
          <w:sz w:val="22"/>
          <w:szCs w:val="22"/>
        </w:rPr>
        <w:t xml:space="preserve">ENTITY FORMATION OBLIGATIONS</w:t>
      </w:r>
    </w:p>
    <w:p>
      <w:pPr>
        <w:spacing w:after="60" w:before="160"/>
        <w:ind w:left="360"/>
      </w:pPr>
      <w:r>
        <w:rPr>
          <w:rFonts w:ascii="Arial" w:cs="Arial" w:eastAsia="Arial" w:hAnsi="Arial"/>
          <w:b/>
          <w:bCs/>
          <w:color w:val="444444"/>
          <w:sz w:val="22"/>
          <w:szCs w:val="22"/>
        </w:rPr>
        <w:t xml:space="preserve">5.1  </w:t>
      </w:r>
      <w:r>
        <w:rPr>
          <w:rFonts w:ascii="Arial" w:cs="Arial" w:eastAsia="Arial" w:hAnsi="Arial"/>
          <w:b/>
          <w:bCs/>
          <w:sz w:val="22"/>
          <w:szCs w:val="22"/>
        </w:rPr>
        <w:t xml:space="preserve">Merge4Ward LLC Formation.</w:t>
      </w:r>
    </w:p>
    <w:p>
      <w:pPr>
        <w:spacing w:after="80" w:before="60"/>
        <w:ind w:left="360"/>
      </w:pPr>
      <w:r>
        <w:rPr>
          <w:rFonts w:ascii="Arial" w:cs="Arial" w:eastAsia="Arial" w:hAnsi="Arial"/>
          <w:sz w:val="22"/>
          <w:szCs w:val="22"/>
        </w:rPr>
        <w:t xml:space="preserve">M4D and Motley LLC (or Gwenevere Motley individually) agree to use commercially reasonable efforts to form Merge4Ward LLC as a Delaware limited liability company within </w:t>
      </w:r>
    </w:p>
    <w:p>
      <w:pPr>
        <w:spacing w:after="80" w:before="60"/>
        <w:ind w:left="360"/>
      </w:pPr>
      <w:r>
        <w:rPr>
          <w:rFonts w:ascii="Arial" w:cs="Arial" w:eastAsia="Arial" w:hAnsi="Arial"/>
          <w:i/>
          <w:iCs/>
          <w:color w:val="185FA5"/>
          <w:sz w:val="22"/>
          <w:szCs w:val="22"/>
        </w:rPr>
        <w:t xml:space="preserve">[[___] days of the Effective Date [attorney to advise on timeline]]</w:t>
      </w:r>
    </w:p>
    <w:p>
      <w:pPr>
        <w:spacing w:after="80" w:before="60"/>
        <w:ind w:left="360"/>
      </w:pPr>
      <w:r>
        <w:rPr>
          <w:rFonts w:ascii="Arial" w:cs="Arial" w:eastAsia="Arial" w:hAnsi="Arial"/>
          <w:sz w:val="22"/>
          <w:szCs w:val="22"/>
        </w:rPr>
        <w:t xml:space="preserve">. The Merge4Ward LLC operating agreement will be consistent with the roles and economic terms described in this Agreement.</w:t>
      </w:r>
    </w:p>
    <w:p>
      <w:pPr>
        <w:spacing w:after="60" w:before="160"/>
        <w:ind w:left="360"/>
      </w:pPr>
      <w:r>
        <w:rPr>
          <w:rFonts w:ascii="Arial" w:cs="Arial" w:eastAsia="Arial" w:hAnsi="Arial"/>
          <w:b/>
          <w:bCs/>
          <w:color w:val="444444"/>
          <w:sz w:val="22"/>
          <w:szCs w:val="22"/>
        </w:rPr>
        <w:t xml:space="preserve">5.2  </w:t>
      </w:r>
      <w:r>
        <w:rPr>
          <w:rFonts w:ascii="Arial" w:cs="Arial" w:eastAsia="Arial" w:hAnsi="Arial"/>
          <w:b/>
          <w:bCs/>
          <w:sz w:val="22"/>
          <w:szCs w:val="22"/>
        </w:rPr>
        <w:t xml:space="preserve">Motley LLC Formation.</w:t>
      </w:r>
    </w:p>
    <w:p>
      <w:pPr>
        <w:spacing w:after="80" w:before="60"/>
        <w:ind w:left="360"/>
      </w:pPr>
      <w:r>
        <w:rPr>
          <w:rFonts w:ascii="Arial" w:cs="Arial" w:eastAsia="Arial" w:hAnsi="Arial"/>
          <w:sz w:val="22"/>
          <w:szCs w:val="22"/>
        </w:rPr>
        <w:t xml:space="preserve">Gwenevere Motley agrees to use commercially reasonable efforts to form Motley LLC within </w:t>
      </w:r>
    </w:p>
    <w:p>
      <w:pPr>
        <w:spacing w:after="80" w:before="60"/>
        <w:ind w:left="360"/>
      </w:pPr>
      <w:r>
        <w:rPr>
          <w:rFonts w:ascii="Arial" w:cs="Arial" w:eastAsia="Arial" w:hAnsi="Arial"/>
          <w:i/>
          <w:iCs/>
          <w:color w:val="185FA5"/>
          <w:sz w:val="22"/>
          <w:szCs w:val="22"/>
        </w:rPr>
        <w:t xml:space="preserve">[[___] days of the Effective Date [attorney to advise]]</w:t>
      </w:r>
    </w:p>
    <w:p>
      <w:pPr>
        <w:spacing w:after="80" w:before="60"/>
        <w:ind w:left="360"/>
      </w:pPr>
      <w:r>
        <w:rPr>
          <w:rFonts w:ascii="Arial" w:cs="Arial" w:eastAsia="Arial" w:hAnsi="Arial"/>
          <w:sz w:val="22"/>
          <w:szCs w:val="22"/>
        </w:rPr>
        <w:t xml:space="preserve">. Upon formation, Motley LLC will be substituted for Gwenevere Motley individually as a party to this Agreement by written amendment.</w:t>
      </w:r>
    </w:p>
    <w:p>
      <w:pPr>
        <w:spacing w:after="60" w:before="160"/>
        <w:ind w:left="360"/>
      </w:pPr>
      <w:r>
        <w:rPr>
          <w:rFonts w:ascii="Arial" w:cs="Arial" w:eastAsia="Arial" w:hAnsi="Arial"/>
          <w:b/>
          <w:bCs/>
          <w:color w:val="444444"/>
          <w:sz w:val="22"/>
          <w:szCs w:val="22"/>
        </w:rPr>
        <w:t xml:space="preserve">5.3  </w:t>
      </w:r>
      <w:r>
        <w:rPr>
          <w:rFonts w:ascii="Arial" w:cs="Arial" w:eastAsia="Arial" w:hAnsi="Arial"/>
          <w:b/>
          <w:bCs/>
          <w:sz w:val="22"/>
          <w:szCs w:val="22"/>
        </w:rPr>
        <w:t xml:space="preserve">Economic Terms.</w:t>
      </w:r>
    </w:p>
    <w:p>
      <w:pPr>
        <w:spacing w:after="80" w:before="60"/>
        <w:ind w:left="360"/>
      </w:pPr>
      <w:r>
        <w:rPr>
          <w:rFonts w:ascii="Arial" w:cs="Arial" w:eastAsia="Arial" w:hAnsi="Arial"/>
          <w:i/>
          <w:iCs/>
          <w:color w:val="185FA5"/>
          <w:sz w:val="22"/>
          <w:szCs w:val="22"/>
        </w:rPr>
        <w:t xml:space="preserve">[ATTORNEY NOTE: The economic terms of Merge4Ward LLC — ownership percentages, profit/loss allocation, capital contributions, and distribution priorities — are to be negotiated among M4D and Motley LLC and documented in the Merge4Ward LLC operating agreement. This Agreement does not establish those terms. Attorney guidance on appropriate ownership structure, capital account treatment, and tax implications of the LLC membership is specifically requested.]</w:t>
      </w:r>
    </w:p>
    <w:p>
      <w:pPr>
        <w:pBdr>
          <w:bottom w:val="single" w:color="196B23" w:sz="6" w:space="1"/>
        </w:pBdr>
        <w:spacing w:after="120" w:before="120"/>
      </w:pPr>
      <w:r>
        <w:t xml:space="preserve"/>
      </w:r>
    </w:p>
    <w:p>
      <w:pPr>
        <w:pBdr>
          <w:bottom w:val="single" w:color="CCCCCC" w:sz="3" w:space="1"/>
        </w:pBdr>
        <w:spacing w:after="80" w:before="240"/>
      </w:pPr>
      <w:r>
        <w:rPr>
          <w:rFonts w:ascii="Arial" w:cs="Arial" w:eastAsia="Arial" w:hAnsi="Arial"/>
          <w:b/>
          <w:bCs/>
          <w:sz w:val="22"/>
          <w:szCs w:val="22"/>
        </w:rPr>
        <w:t xml:space="preserve">6.  </w:t>
      </w:r>
      <w:r>
        <w:rPr>
          <w:rFonts w:ascii="Arial" w:cs="Arial" w:eastAsia="Arial" w:hAnsi="Arial"/>
          <w:b/>
          <w:bCs/>
          <w:sz w:val="22"/>
          <w:szCs w:val="22"/>
        </w:rPr>
        <w:t xml:space="preserve">INTELLECTUAL PROPERTY</w:t>
      </w:r>
    </w:p>
    <w:p>
      <w:pPr>
        <w:spacing w:after="60" w:before="160"/>
        <w:ind w:left="360"/>
      </w:pPr>
      <w:r>
        <w:rPr>
          <w:rFonts w:ascii="Arial" w:cs="Arial" w:eastAsia="Arial" w:hAnsi="Arial"/>
          <w:b/>
          <w:bCs/>
          <w:color w:val="444444"/>
          <w:sz w:val="22"/>
          <w:szCs w:val="22"/>
        </w:rPr>
        <w:t xml:space="preserve">6.1  </w:t>
      </w:r>
      <w:r>
        <w:rPr>
          <w:rFonts w:ascii="Arial" w:cs="Arial" w:eastAsia="Arial" w:hAnsi="Arial"/>
          <w:b/>
          <w:bCs/>
          <w:sz w:val="22"/>
          <w:szCs w:val="22"/>
        </w:rPr>
        <w:t xml:space="preserve">Forward Housing System.</w:t>
      </w:r>
    </w:p>
    <w:p>
      <w:pPr>
        <w:spacing w:after="80" w:before="60"/>
        <w:ind w:left="360"/>
      </w:pPr>
      <w:r>
        <w:rPr>
          <w:rFonts w:ascii="Arial" w:cs="Arial" w:eastAsia="Arial" w:hAnsi="Arial"/>
          <w:sz w:val="22"/>
          <w:szCs w:val="22"/>
        </w:rPr>
        <w:t xml:space="preserve">The Forward Housing CLT/SIP construction system, including structural details, connection hardware specifications, MEP manifold designs, the Claymont Hybrid technical documentation library, and all related construction methodology developed through the collaboration ("Forward Housing IP") shall be owned by Merge4Ward LLC upon formation. Prior to formation, Forward Housing IP is jointly owned by M4D and Gwenevere Motley in proportion to their anticipated Merge4Ward LLC ownership interests.</w:t>
      </w:r>
    </w:p>
    <w:p>
      <w:pPr>
        <w:spacing w:after="60" w:before="160"/>
        <w:ind w:left="360"/>
      </w:pPr>
      <w:r>
        <w:rPr>
          <w:rFonts w:ascii="Arial" w:cs="Arial" w:eastAsia="Arial" w:hAnsi="Arial"/>
          <w:b/>
          <w:bCs/>
          <w:color w:val="444444"/>
          <w:sz w:val="22"/>
          <w:szCs w:val="22"/>
        </w:rPr>
        <w:t xml:space="preserve">6.2  </w:t>
      </w:r>
      <w:r>
        <w:rPr>
          <w:rFonts w:ascii="Arial" w:cs="Arial" w:eastAsia="Arial" w:hAnsi="Arial"/>
          <w:b/>
          <w:bCs/>
          <w:sz w:val="22"/>
          <w:szCs w:val="22"/>
        </w:rPr>
        <w:t xml:space="preserve">M4Di Predevelopment Methodology.</w:t>
      </w:r>
    </w:p>
    <w:p>
      <w:pPr>
        <w:spacing w:after="80" w:before="60"/>
        <w:ind w:left="360"/>
      </w:pPr>
      <w:r>
        <w:rPr>
          <w:rFonts w:ascii="Arial" w:cs="Arial" w:eastAsia="Arial" w:hAnsi="Arial"/>
          <w:sz w:val="22"/>
          <w:szCs w:val="22"/>
        </w:rPr>
        <w:t xml:space="preserve">The M4Di OI Tool, ALDDB Historical Cost Database, FeasOps methodology, and all related M4Di proprietary tools and data ("M4Di IP") remain the sole property of the M4Di Leadership Team and/or Merge 4 Design LLC. M4Di licenses its predevelopment cost methodology to Merge4Ward on a non-exclusive, royalty-free basis for use on Forward Housing projects. This license does not grant Merge4Ward any ownership interest in M4Di IP.</w:t>
      </w:r>
    </w:p>
    <w:p>
      <w:pPr>
        <w:spacing w:after="60" w:before="160"/>
        <w:ind w:left="360"/>
      </w:pPr>
      <w:r>
        <w:rPr>
          <w:rFonts w:ascii="Arial" w:cs="Arial" w:eastAsia="Arial" w:hAnsi="Arial"/>
          <w:b/>
          <w:bCs/>
          <w:color w:val="444444"/>
          <w:sz w:val="22"/>
          <w:szCs w:val="22"/>
        </w:rPr>
        <w:t xml:space="preserve">6.3  </w:t>
      </w:r>
      <w:r>
        <w:rPr>
          <w:rFonts w:ascii="Arial" w:cs="Arial" w:eastAsia="Arial" w:hAnsi="Arial"/>
          <w:b/>
          <w:bCs/>
          <w:sz w:val="22"/>
          <w:szCs w:val="22"/>
        </w:rPr>
        <w:t xml:space="preserve">L.E.E.P. IP.</w:t>
      </w:r>
    </w:p>
    <w:p>
      <w:pPr>
        <w:spacing w:after="80" w:before="60"/>
        <w:ind w:left="360"/>
      </w:pPr>
      <w:r>
        <w:rPr>
          <w:rFonts w:ascii="Arial" w:cs="Arial" w:eastAsia="Arial" w:hAnsi="Arial"/>
          <w:sz w:val="22"/>
          <w:szCs w:val="22"/>
        </w:rPr>
        <w:t xml:space="preserve">L.E.E.P.'s community relationships, mission brand, and organizational goodwill remain L.E.E.P.'s sole property. L.E.E.P.'s participation in this Agreement does not transfer any L.E.E.P. IP to Merge4Ward or any other party.</w:t>
      </w:r>
    </w:p>
    <w:p>
      <w:pPr>
        <w:pBdr>
          <w:bottom w:val="single" w:color="196B23" w:sz="6" w:space="1"/>
        </w:pBdr>
        <w:spacing w:after="120" w:before="120"/>
      </w:pPr>
      <w:r>
        <w:t xml:space="preserve"/>
      </w:r>
    </w:p>
    <w:p>
      <w:pPr>
        <w:pBdr>
          <w:bottom w:val="single" w:color="CCCCCC" w:sz="3" w:space="1"/>
        </w:pBdr>
        <w:spacing w:after="80" w:before="240"/>
      </w:pPr>
      <w:r>
        <w:rPr>
          <w:rFonts w:ascii="Arial" w:cs="Arial" w:eastAsia="Arial" w:hAnsi="Arial"/>
          <w:b/>
          <w:bCs/>
          <w:sz w:val="22"/>
          <w:szCs w:val="22"/>
        </w:rPr>
        <w:t xml:space="preserve">7.  </w:t>
      </w:r>
      <w:r>
        <w:rPr>
          <w:rFonts w:ascii="Arial" w:cs="Arial" w:eastAsia="Arial" w:hAnsi="Arial"/>
          <w:b/>
          <w:bCs/>
          <w:sz w:val="22"/>
          <w:szCs w:val="22"/>
        </w:rPr>
        <w:t xml:space="preserve">TERM AND TERMINATION</w:t>
      </w:r>
    </w:p>
    <w:p>
      <w:pPr>
        <w:spacing w:after="60" w:before="160"/>
        <w:ind w:left="360"/>
      </w:pPr>
      <w:r>
        <w:rPr>
          <w:rFonts w:ascii="Arial" w:cs="Arial" w:eastAsia="Arial" w:hAnsi="Arial"/>
          <w:b/>
          <w:bCs/>
          <w:color w:val="444444"/>
          <w:sz w:val="22"/>
          <w:szCs w:val="22"/>
        </w:rPr>
        <w:t xml:space="preserve">7.1  </w:t>
      </w:r>
      <w:r>
        <w:rPr>
          <w:rFonts w:ascii="Arial" w:cs="Arial" w:eastAsia="Arial" w:hAnsi="Arial"/>
          <w:b/>
          <w:bCs/>
          <w:sz w:val="22"/>
          <w:szCs w:val="22"/>
        </w:rPr>
        <w:t xml:space="preserve">Term.</w:t>
      </w:r>
    </w:p>
    <w:p>
      <w:pPr>
        <w:spacing w:after="80" w:before="60"/>
        <w:ind w:left="360"/>
      </w:pPr>
      <w:r>
        <w:rPr>
          <w:rFonts w:ascii="Arial" w:cs="Arial" w:eastAsia="Arial" w:hAnsi="Arial"/>
          <w:sz w:val="22"/>
          <w:szCs w:val="22"/>
        </w:rPr>
        <w:t xml:space="preserve">This Agreement is effective as of the Effective Date and continues until: (a) the grant application is unsuccessful and no further collaboration is contemplated; (b) the grant period concludes and all obligations are fulfilled; or (c) earlier termination pursuant to this Section 7.</w:t>
      </w:r>
    </w:p>
    <w:p>
      <w:pPr>
        <w:spacing w:after="60" w:before="160"/>
        <w:ind w:left="360"/>
      </w:pPr>
      <w:r>
        <w:rPr>
          <w:rFonts w:ascii="Arial" w:cs="Arial" w:eastAsia="Arial" w:hAnsi="Arial"/>
          <w:b/>
          <w:bCs/>
          <w:color w:val="444444"/>
          <w:sz w:val="22"/>
          <w:szCs w:val="22"/>
        </w:rPr>
        <w:t xml:space="preserve">7.2  </w:t>
      </w:r>
      <w:r>
        <w:rPr>
          <w:rFonts w:ascii="Arial" w:cs="Arial" w:eastAsia="Arial" w:hAnsi="Arial"/>
          <w:b/>
          <w:bCs/>
          <w:sz w:val="22"/>
          <w:szCs w:val="22"/>
        </w:rPr>
        <w:t xml:space="preserve">Termination by Mutual Agreement.</w:t>
      </w:r>
    </w:p>
    <w:p>
      <w:pPr>
        <w:spacing w:after="80" w:before="60"/>
        <w:ind w:left="360"/>
      </w:pPr>
      <w:r>
        <w:rPr>
          <w:rFonts w:ascii="Arial" w:cs="Arial" w:eastAsia="Arial" w:hAnsi="Arial"/>
          <w:sz w:val="22"/>
          <w:szCs w:val="22"/>
        </w:rPr>
        <w:t xml:space="preserve">This Agreement may be terminated by written agreement of all parties at any time.</w:t>
      </w:r>
    </w:p>
    <w:p>
      <w:pPr>
        <w:spacing w:after="60" w:before="160"/>
        <w:ind w:left="360"/>
      </w:pPr>
      <w:r>
        <w:rPr>
          <w:rFonts w:ascii="Arial" w:cs="Arial" w:eastAsia="Arial" w:hAnsi="Arial"/>
          <w:b/>
          <w:bCs/>
          <w:color w:val="444444"/>
          <w:sz w:val="22"/>
          <w:szCs w:val="22"/>
        </w:rPr>
        <w:t xml:space="preserve">7.3  </w:t>
      </w:r>
      <w:r>
        <w:rPr>
          <w:rFonts w:ascii="Arial" w:cs="Arial" w:eastAsia="Arial" w:hAnsi="Arial"/>
          <w:b/>
          <w:bCs/>
          <w:sz w:val="22"/>
          <w:szCs w:val="22"/>
        </w:rPr>
        <w:t xml:space="preserve">Termination for Cause.</w:t>
      </w:r>
    </w:p>
    <w:p>
      <w:pPr>
        <w:spacing w:after="80" w:before="60"/>
        <w:ind w:left="360"/>
      </w:pPr>
      <w:r>
        <w:rPr>
          <w:rFonts w:ascii="Arial" w:cs="Arial" w:eastAsia="Arial" w:hAnsi="Arial"/>
          <w:sz w:val="22"/>
          <w:szCs w:val="22"/>
        </w:rPr>
        <w:t xml:space="preserve">Any party may terminate its participation in this Agreement upon thirty (30) days' written notice if another party materially breaches this Agreement and fails to cure such breach within the notice period. Termination does not relieve any party of obligations arising before termination, including grant reporting and fund management obligations.</w:t>
      </w:r>
    </w:p>
    <w:p>
      <w:pPr>
        <w:spacing w:after="60" w:before="160"/>
        <w:ind w:left="360"/>
      </w:pPr>
      <w:r>
        <w:rPr>
          <w:rFonts w:ascii="Arial" w:cs="Arial" w:eastAsia="Arial" w:hAnsi="Arial"/>
          <w:b/>
          <w:bCs/>
          <w:color w:val="444444"/>
          <w:sz w:val="22"/>
          <w:szCs w:val="22"/>
        </w:rPr>
        <w:t xml:space="preserve">7.4  </w:t>
      </w:r>
      <w:r>
        <w:rPr>
          <w:rFonts w:ascii="Arial" w:cs="Arial" w:eastAsia="Arial" w:hAnsi="Arial"/>
          <w:b/>
          <w:bCs/>
          <w:sz w:val="22"/>
          <w:szCs w:val="22"/>
        </w:rPr>
        <w:t xml:space="preserve">Survival.</w:t>
      </w:r>
    </w:p>
    <w:p>
      <w:pPr>
        <w:spacing w:after="80" w:before="60"/>
        <w:ind w:left="360"/>
      </w:pPr>
      <w:r>
        <w:rPr>
          <w:rFonts w:ascii="Arial" w:cs="Arial" w:eastAsia="Arial" w:hAnsi="Arial"/>
          <w:sz w:val="22"/>
          <w:szCs w:val="22"/>
        </w:rPr>
        <w:t xml:space="preserve">Sections 6 (Intellectual Property), 8 (Indemnification), and 9 (General Provisions) survive termination of this Agreement.</w:t>
      </w:r>
    </w:p>
    <w:p>
      <w:pPr>
        <w:pBdr>
          <w:bottom w:val="single" w:color="196B23" w:sz="6" w:space="1"/>
        </w:pBdr>
        <w:spacing w:after="120" w:before="120"/>
      </w:pPr>
      <w:r>
        <w:t xml:space="preserve"/>
      </w:r>
    </w:p>
    <w:p>
      <w:pPr>
        <w:pBdr>
          <w:bottom w:val="single" w:color="CCCCCC" w:sz="3" w:space="1"/>
        </w:pBdr>
        <w:spacing w:after="80" w:before="240"/>
      </w:pPr>
      <w:r>
        <w:rPr>
          <w:rFonts w:ascii="Arial" w:cs="Arial" w:eastAsia="Arial" w:hAnsi="Arial"/>
          <w:b/>
          <w:bCs/>
          <w:sz w:val="22"/>
          <w:szCs w:val="22"/>
        </w:rPr>
        <w:t xml:space="preserve">8.  </w:t>
      </w:r>
      <w:r>
        <w:rPr>
          <w:rFonts w:ascii="Arial" w:cs="Arial" w:eastAsia="Arial" w:hAnsi="Arial"/>
          <w:b/>
          <w:bCs/>
          <w:sz w:val="22"/>
          <w:szCs w:val="22"/>
        </w:rPr>
        <w:t xml:space="preserve">INDEMNIFICATION</w:t>
      </w:r>
    </w:p>
    <w:p>
      <w:pPr>
        <w:spacing w:after="80" w:before="60"/>
        <w:ind w:left="360"/>
      </w:pPr>
      <w:r>
        <w:rPr>
          <w:rFonts w:ascii="Arial" w:cs="Arial" w:eastAsia="Arial" w:hAnsi="Arial"/>
          <w:sz w:val="22"/>
          <w:szCs w:val="22"/>
        </w:rPr>
        <w:t xml:space="preserve">Each party agrees to indemnify, defend, and hold harmless the other parties and their respective officers, members, directors, employees, and agents from and against any claims, liabilities, damages, or expenses (including reasonable attorneys' fees) arising from such party's breach of this Agreement, negligence, or willful misconduct in connection with Forward Housing program activities.</w:t>
      </w:r>
    </w:p>
    <w:p>
      <w:pPr>
        <w:pBdr>
          <w:bottom w:val="single" w:color="196B23" w:sz="6" w:space="1"/>
        </w:pBdr>
        <w:spacing w:after="120" w:before="120"/>
      </w:pPr>
      <w:r>
        <w:t xml:space="preserve"/>
      </w:r>
    </w:p>
    <w:p>
      <w:pPr>
        <w:pBdr>
          <w:bottom w:val="single" w:color="CCCCCC" w:sz="3" w:space="1"/>
        </w:pBdr>
        <w:spacing w:after="80" w:before="240"/>
      </w:pPr>
      <w:r>
        <w:rPr>
          <w:rFonts w:ascii="Arial" w:cs="Arial" w:eastAsia="Arial" w:hAnsi="Arial"/>
          <w:b/>
          <w:bCs/>
          <w:sz w:val="22"/>
          <w:szCs w:val="22"/>
        </w:rPr>
        <w:t xml:space="preserve">9.  </w:t>
      </w:r>
      <w:r>
        <w:rPr>
          <w:rFonts w:ascii="Arial" w:cs="Arial" w:eastAsia="Arial" w:hAnsi="Arial"/>
          <w:b/>
          <w:bCs/>
          <w:sz w:val="22"/>
          <w:szCs w:val="22"/>
        </w:rPr>
        <w:t xml:space="preserve">GENERAL PROVISIONS</w:t>
      </w:r>
    </w:p>
    <w:p>
      <w:pPr>
        <w:spacing w:after="60" w:before="160"/>
        <w:ind w:left="360"/>
      </w:pPr>
      <w:r>
        <w:rPr>
          <w:rFonts w:ascii="Arial" w:cs="Arial" w:eastAsia="Arial" w:hAnsi="Arial"/>
          <w:b/>
          <w:bCs/>
          <w:color w:val="444444"/>
          <w:sz w:val="22"/>
          <w:szCs w:val="22"/>
        </w:rPr>
        <w:t xml:space="preserve">9.1  </w:t>
      </w:r>
      <w:r>
        <w:rPr>
          <w:rFonts w:ascii="Arial" w:cs="Arial" w:eastAsia="Arial" w:hAnsi="Arial"/>
          <w:b/>
          <w:bCs/>
          <w:sz w:val="22"/>
          <w:szCs w:val="22"/>
        </w:rPr>
        <w:t xml:space="preserve">Governing Law.</w:t>
      </w:r>
    </w:p>
    <w:p>
      <w:pPr>
        <w:spacing w:after="80" w:before="60"/>
        <w:ind w:left="360"/>
      </w:pPr>
      <w:r>
        <w:rPr>
          <w:rFonts w:ascii="Arial" w:cs="Arial" w:eastAsia="Arial" w:hAnsi="Arial"/>
          <w:sz w:val="22"/>
          <w:szCs w:val="22"/>
        </w:rPr>
        <w:t xml:space="preserve">This Agreement is governed by the laws of the State of Delaware.</w:t>
      </w:r>
    </w:p>
    <w:p>
      <w:pPr>
        <w:spacing w:after="60" w:before="160"/>
        <w:ind w:left="360"/>
      </w:pPr>
      <w:r>
        <w:rPr>
          <w:rFonts w:ascii="Arial" w:cs="Arial" w:eastAsia="Arial" w:hAnsi="Arial"/>
          <w:b/>
          <w:bCs/>
          <w:color w:val="444444"/>
          <w:sz w:val="22"/>
          <w:szCs w:val="22"/>
        </w:rPr>
        <w:t xml:space="preserve">9.2  </w:t>
      </w:r>
      <w:r>
        <w:rPr>
          <w:rFonts w:ascii="Arial" w:cs="Arial" w:eastAsia="Arial" w:hAnsi="Arial"/>
          <w:b/>
          <w:bCs/>
          <w:sz w:val="22"/>
          <w:szCs w:val="22"/>
        </w:rPr>
        <w:t xml:space="preserve">Dispute Resolution.</w:t>
      </w:r>
    </w:p>
    <w:p>
      <w:pPr>
        <w:spacing w:after="80" w:before="60"/>
        <w:ind w:left="360"/>
      </w:pPr>
      <w:r>
        <w:rPr>
          <w:rFonts w:ascii="Arial" w:cs="Arial" w:eastAsia="Arial" w:hAnsi="Arial"/>
          <w:sz w:val="22"/>
          <w:szCs w:val="22"/>
        </w:rPr>
        <w:t xml:space="preserve">The parties will attempt to resolve disputes through good-faith negotiation, then mediation, before initiating litigation. Venue for any litigation shall be in the courts of New Castle County, Delaware.</w:t>
      </w:r>
    </w:p>
    <w:p>
      <w:pPr>
        <w:spacing w:after="60" w:before="160"/>
        <w:ind w:left="360"/>
      </w:pPr>
      <w:r>
        <w:rPr>
          <w:rFonts w:ascii="Arial" w:cs="Arial" w:eastAsia="Arial" w:hAnsi="Arial"/>
          <w:b/>
          <w:bCs/>
          <w:color w:val="444444"/>
          <w:sz w:val="22"/>
          <w:szCs w:val="22"/>
        </w:rPr>
        <w:t xml:space="preserve">9.3  </w:t>
      </w:r>
      <w:r>
        <w:rPr>
          <w:rFonts w:ascii="Arial" w:cs="Arial" w:eastAsia="Arial" w:hAnsi="Arial"/>
          <w:b/>
          <w:bCs/>
          <w:sz w:val="22"/>
          <w:szCs w:val="22"/>
        </w:rPr>
        <w:t xml:space="preserve">No Joint Venture or Partnership.</w:t>
      </w:r>
    </w:p>
    <w:p>
      <w:pPr>
        <w:spacing w:after="80" w:before="60"/>
        <w:ind w:left="360"/>
      </w:pPr>
      <w:r>
        <w:rPr>
          <w:rFonts w:ascii="Arial" w:cs="Arial" w:eastAsia="Arial" w:hAnsi="Arial"/>
          <w:sz w:val="22"/>
          <w:szCs w:val="22"/>
        </w:rPr>
        <w:t xml:space="preserve">Until Merge4Ward LLC is formed, this Agreement does not create a general partnership, joint venture, or other legal entity among the parties. Each party remains an independent legal entity responsible for its own obligations and liabilities.</w:t>
      </w:r>
    </w:p>
    <w:p>
      <w:pPr>
        <w:spacing w:after="60" w:before="160"/>
        <w:ind w:left="360"/>
      </w:pPr>
      <w:r>
        <w:rPr>
          <w:rFonts w:ascii="Arial" w:cs="Arial" w:eastAsia="Arial" w:hAnsi="Arial"/>
          <w:b/>
          <w:bCs/>
          <w:color w:val="444444"/>
          <w:sz w:val="22"/>
          <w:szCs w:val="22"/>
        </w:rPr>
        <w:t xml:space="preserve">9.4  </w:t>
      </w:r>
      <w:r>
        <w:rPr>
          <w:rFonts w:ascii="Arial" w:cs="Arial" w:eastAsia="Arial" w:hAnsi="Arial"/>
          <w:b/>
          <w:bCs/>
          <w:sz w:val="22"/>
          <w:szCs w:val="22"/>
        </w:rPr>
        <w:t xml:space="preserve">Entire Agreement.</w:t>
      </w:r>
    </w:p>
    <w:p>
      <w:pPr>
        <w:spacing w:after="80" w:before="60"/>
        <w:ind w:left="360"/>
      </w:pPr>
      <w:r>
        <w:rPr>
          <w:rFonts w:ascii="Arial" w:cs="Arial" w:eastAsia="Arial" w:hAnsi="Arial"/>
          <w:sz w:val="22"/>
          <w:szCs w:val="22"/>
        </w:rPr>
        <w:t xml:space="preserve">This Agreement constitutes the entire agreement among the parties with respect to the subject matter hereof and supersedes all prior understandings. Amendments must be in writing and signed by all parties.</w:t>
      </w:r>
    </w:p>
    <w:p>
      <w:pPr>
        <w:spacing w:after="60" w:before="160"/>
        <w:ind w:left="360"/>
      </w:pPr>
      <w:r>
        <w:rPr>
          <w:rFonts w:ascii="Arial" w:cs="Arial" w:eastAsia="Arial" w:hAnsi="Arial"/>
          <w:b/>
          <w:bCs/>
          <w:color w:val="444444"/>
          <w:sz w:val="22"/>
          <w:szCs w:val="22"/>
        </w:rPr>
        <w:t xml:space="preserve">9.5  </w:t>
      </w:r>
      <w:r>
        <w:rPr>
          <w:rFonts w:ascii="Arial" w:cs="Arial" w:eastAsia="Arial" w:hAnsi="Arial"/>
          <w:b/>
          <w:bCs/>
          <w:sz w:val="22"/>
          <w:szCs w:val="22"/>
        </w:rPr>
        <w:t xml:space="preserve">Counterparts.</w:t>
      </w:r>
    </w:p>
    <w:p>
      <w:pPr>
        <w:spacing w:after="80" w:before="60"/>
        <w:ind w:left="360"/>
      </w:pPr>
      <w:r>
        <w:rPr>
          <w:rFonts w:ascii="Arial" w:cs="Arial" w:eastAsia="Arial" w:hAnsi="Arial"/>
          <w:sz w:val="22"/>
          <w:szCs w:val="22"/>
        </w:rPr>
        <w:t xml:space="preserve">This Agreement may be executed in counterparts, including by electronic signature, each of which constitutes an original.</w:t>
      </w:r>
    </w:p>
    <w:p>
      <w:pPr>
        <w:pBdr>
          <w:bottom w:val="single" w:color="196B23" w:sz="6" w:space="1"/>
        </w:pBdr>
        <w:spacing w:after="120" w:before="120"/>
      </w:pPr>
      <w:r>
        <w:t xml:space="preserve"/>
      </w:r>
    </w:p>
    <w:p>
      <w:pPr>
        <w:pBdr>
          <w:bottom w:val="single" w:color="CCCCCC" w:sz="3" w:space="1"/>
        </w:pBdr>
        <w:spacing w:after="80" w:before="240"/>
      </w:pPr>
      <w:r>
        <w:rPr>
          <w:rFonts w:ascii="Arial" w:cs="Arial" w:eastAsia="Arial" w:hAnsi="Arial"/>
          <w:b/>
          <w:bCs/>
          <w:sz w:val="22"/>
          <w:szCs w:val="22"/>
        </w:rPr>
        <w:t xml:space="preserve">10.  </w:t>
      </w:r>
      <w:r>
        <w:rPr>
          <w:rFonts w:ascii="Arial" w:cs="Arial" w:eastAsia="Arial" w:hAnsi="Arial"/>
          <w:b/>
          <w:bCs/>
          <w:sz w:val="22"/>
          <w:szCs w:val="22"/>
        </w:rPr>
        <w:t xml:space="preserve">SIGNATURES</w:t>
      </w:r>
    </w:p>
    <w:p>
      <w:pPr>
        <w:spacing w:after="80" w:before="60"/>
        <w:ind w:left="360"/>
      </w:pPr>
      <w:r>
        <w:rPr>
          <w:rFonts w:ascii="Arial" w:cs="Arial" w:eastAsia="Arial" w:hAnsi="Arial"/>
          <w:sz w:val="22"/>
          <w:szCs w:val="22"/>
        </w:rPr>
        <w:t xml:space="preserve">IN WITNESS WHEREOF, the parties have executed this Multi-Party Collaboration Agreement as of the date first written above.</w:t>
      </w:r>
    </w:p>
    <w:p>
      <w:pPr>
        <w:spacing w:after="6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r>
              <w:rPr>
                <w:rFonts w:ascii="Arial" w:cs="Arial" w:eastAsia="Arial" w:hAnsi="Arial"/>
                <w:b/>
                <w:bCs/>
                <w:sz w:val="20"/>
                <w:szCs w:val="20"/>
              </w:rPr>
              <w:t xml:space="preserve">PARTY 1: L.E.E.P., Inc.</w:t>
            </w:r>
          </w:p>
        </w:tc>
        <w:tc>
          <w:tcPr>
            <w:tcW w:type="dxa" w:w="48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sz w:val="20"/>
                <w:szCs w:val="20"/>
              </w:rPr>
              <w:t xml:space="preserve"> </w:t>
            </w:r>
          </w:p>
        </w:tc>
      </w:tr>
      <w:tr>
        <w:tc>
          <w:tcPr>
            <w:tcW w:type="dxa" w:w="450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sz w:val="20"/>
                <w:szCs w:val="20"/>
              </w:rPr>
              <w:t xml:space="preserve">Signature:</w:t>
            </w:r>
          </w:p>
        </w:tc>
        <w:tc>
          <w:tcPr>
            <w:tcW w:type="dxa" w:w="4860"/>
            <w:tcBorders>
              <w:top w:val="single" w:color="CCCCCC" w:sz="1"/>
              <w:left w:val="single" w:color="CCCCCC" w:sz="1"/>
              <w:bottom w:val="single" w:color="CCCCCC" w:sz="1"/>
              <w:right w:val="single" w:color="CCCCCC" w:sz="1"/>
            </w:tcBorders>
            <w:tcMar>
              <w:top w:type="dxa" w:w="80"/>
              <w:left w:type="dxa" w:w="200"/>
              <w:bottom w:type="dxa" w:w="200"/>
              <w:right w:type="dxa" w:w="200"/>
            </w:tcMar>
          </w:tcPr>
          <w:p>
            <w:r>
              <w:rPr>
                <w:rFonts w:ascii="Arial" w:cs="Arial" w:eastAsia="Arial" w:hAnsi="Arial"/>
                <w:sz w:val="20"/>
                <w:szCs w:val="20"/>
              </w:rPr>
              <w:t xml:space="preserve">___________________________________</w:t>
            </w:r>
          </w:p>
        </w:tc>
      </w:tr>
      <w:tr>
        <w:tc>
          <w:tcPr>
            <w:tcW w:type="dxa" w:w="450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sz w:val="20"/>
                <w:szCs w:val="20"/>
              </w:rPr>
              <w:t xml:space="preserve">Printed Name:</w:t>
            </w:r>
          </w:p>
        </w:tc>
        <w:tc>
          <w:tcPr>
            <w:tcW w:type="dxa" w:w="486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i/>
                <w:iCs/>
                <w:color w:val="185FA5"/>
                <w:sz w:val="20"/>
                <w:szCs w:val="20"/>
              </w:rPr>
              <w:t xml:space="preserve">Gwenevere Motley</w:t>
            </w:r>
          </w:p>
        </w:tc>
      </w:tr>
      <w:tr>
        <w:tc>
          <w:tcPr>
            <w:tcW w:type="dxa" w:w="450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sz w:val="20"/>
                <w:szCs w:val="20"/>
              </w:rPr>
              <w:t xml:space="preserve">Title:</w:t>
            </w:r>
          </w:p>
        </w:tc>
        <w:tc>
          <w:tcPr>
            <w:tcW w:type="dxa" w:w="486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i/>
                <w:iCs/>
                <w:color w:val="185FA5"/>
                <w:sz w:val="20"/>
                <w:szCs w:val="20"/>
              </w:rPr>
              <w:t xml:space="preserve">[Title — confirm]</w:t>
            </w:r>
          </w:p>
        </w:tc>
      </w:tr>
      <w:tr>
        <w:tc>
          <w:tcPr>
            <w:tcW w:type="dxa" w:w="450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sz w:val="20"/>
                <w:szCs w:val="20"/>
              </w:rPr>
              <w:t xml:space="preserve">Date:</w:t>
            </w:r>
          </w:p>
        </w:tc>
        <w:tc>
          <w:tcPr>
            <w:tcW w:type="dxa" w:w="486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i/>
                <w:iCs/>
                <w:color w:val="185FA5"/>
                <w:sz w:val="20"/>
                <w:szCs w:val="20"/>
              </w:rPr>
              <w:t xml:space="preserve">________________</w:t>
            </w:r>
          </w:p>
        </w:tc>
      </w:tr>
    </w:tbl>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r>
              <w:rPr>
                <w:rFonts w:ascii="Arial" w:cs="Arial" w:eastAsia="Arial" w:hAnsi="Arial"/>
                <w:b/>
                <w:bCs/>
                <w:sz w:val="20"/>
                <w:szCs w:val="20"/>
              </w:rPr>
              <w:t xml:space="preserve">PARTY 2: Gwenevere Motley (individually, pending Motley LLC formation)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sz w:val="20"/>
                <w:szCs w:val="20"/>
              </w:rPr>
              <w:t xml:space="preserve"> </w:t>
            </w:r>
          </w:p>
        </w:tc>
      </w:tr>
      <w:tr>
        <w:tc>
          <w:tcPr>
            <w:tcW w:type="dxa" w:w="450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sz w:val="20"/>
                <w:szCs w:val="20"/>
              </w:rPr>
              <w:t xml:space="preserve">Signature:</w:t>
            </w:r>
          </w:p>
        </w:tc>
        <w:tc>
          <w:tcPr>
            <w:tcW w:type="dxa" w:w="4860"/>
            <w:tcBorders>
              <w:top w:val="single" w:color="CCCCCC" w:sz="1"/>
              <w:left w:val="single" w:color="CCCCCC" w:sz="1"/>
              <w:bottom w:val="single" w:color="CCCCCC" w:sz="1"/>
              <w:right w:val="single" w:color="CCCCCC" w:sz="1"/>
            </w:tcBorders>
            <w:tcMar>
              <w:top w:type="dxa" w:w="80"/>
              <w:left w:type="dxa" w:w="200"/>
              <w:bottom w:type="dxa" w:w="200"/>
              <w:right w:type="dxa" w:w="200"/>
            </w:tcMar>
          </w:tcPr>
          <w:p>
            <w:r>
              <w:rPr>
                <w:rFonts w:ascii="Arial" w:cs="Arial" w:eastAsia="Arial" w:hAnsi="Arial"/>
                <w:sz w:val="20"/>
                <w:szCs w:val="20"/>
              </w:rPr>
              <w:t xml:space="preserve">___________________________________</w:t>
            </w:r>
          </w:p>
        </w:tc>
      </w:tr>
      <w:tr>
        <w:tc>
          <w:tcPr>
            <w:tcW w:type="dxa" w:w="450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sz w:val="20"/>
                <w:szCs w:val="20"/>
              </w:rPr>
              <w:t xml:space="preserve">Printed Name:</w:t>
            </w:r>
          </w:p>
        </w:tc>
        <w:tc>
          <w:tcPr>
            <w:tcW w:type="dxa" w:w="486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i/>
                <w:iCs/>
                <w:color w:val="185FA5"/>
                <w:sz w:val="20"/>
                <w:szCs w:val="20"/>
              </w:rPr>
              <w:t xml:space="preserve">Gwenevere Motley</w:t>
            </w:r>
          </w:p>
        </w:tc>
      </w:tr>
      <w:tr>
        <w:tc>
          <w:tcPr>
            <w:tcW w:type="dxa" w:w="450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sz w:val="20"/>
                <w:szCs w:val="20"/>
              </w:rPr>
              <w:t xml:space="preserve">Title:</w:t>
            </w:r>
          </w:p>
        </w:tc>
        <w:tc>
          <w:tcPr>
            <w:tcW w:type="dxa" w:w="486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i/>
                <w:iCs/>
                <w:color w:val="185FA5"/>
                <w:sz w:val="20"/>
                <w:szCs w:val="20"/>
              </w:rPr>
              <w:t xml:space="preserve">Individual</w:t>
            </w:r>
          </w:p>
        </w:tc>
      </w:tr>
      <w:tr>
        <w:tc>
          <w:tcPr>
            <w:tcW w:type="dxa" w:w="450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sz w:val="20"/>
                <w:szCs w:val="20"/>
              </w:rPr>
              <w:t xml:space="preserve">Date:</w:t>
            </w:r>
          </w:p>
        </w:tc>
        <w:tc>
          <w:tcPr>
            <w:tcW w:type="dxa" w:w="486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i/>
                <w:iCs/>
                <w:color w:val="185FA5"/>
                <w:sz w:val="20"/>
                <w:szCs w:val="20"/>
              </w:rPr>
              <w:t xml:space="preserve">________________</w:t>
            </w:r>
          </w:p>
        </w:tc>
      </w:tr>
    </w:tbl>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r>
              <w:rPr>
                <w:rFonts w:ascii="Arial" w:cs="Arial" w:eastAsia="Arial" w:hAnsi="Arial"/>
                <w:b/>
                <w:bCs/>
                <w:sz w:val="20"/>
                <w:szCs w:val="20"/>
              </w:rPr>
              <w:t xml:space="preserve">PARTY 3: Merge 4 Design LLC</w:t>
            </w:r>
          </w:p>
        </w:tc>
        <w:tc>
          <w:tcPr>
            <w:tcW w:type="dxa" w:w="48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sz w:val="20"/>
                <w:szCs w:val="20"/>
              </w:rPr>
              <w:t xml:space="preserve"> </w:t>
            </w:r>
          </w:p>
        </w:tc>
      </w:tr>
      <w:tr>
        <w:tc>
          <w:tcPr>
            <w:tcW w:type="dxa" w:w="450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sz w:val="20"/>
                <w:szCs w:val="20"/>
              </w:rPr>
              <w:t xml:space="preserve">Signature:</w:t>
            </w:r>
          </w:p>
        </w:tc>
        <w:tc>
          <w:tcPr>
            <w:tcW w:type="dxa" w:w="4860"/>
            <w:tcBorders>
              <w:top w:val="single" w:color="CCCCCC" w:sz="1"/>
              <w:left w:val="single" w:color="CCCCCC" w:sz="1"/>
              <w:bottom w:val="single" w:color="CCCCCC" w:sz="1"/>
              <w:right w:val="single" w:color="CCCCCC" w:sz="1"/>
            </w:tcBorders>
            <w:tcMar>
              <w:top w:type="dxa" w:w="80"/>
              <w:left w:type="dxa" w:w="200"/>
              <w:bottom w:type="dxa" w:w="200"/>
              <w:right w:type="dxa" w:w="200"/>
            </w:tcMar>
          </w:tcPr>
          <w:p>
            <w:r>
              <w:rPr>
                <w:rFonts w:ascii="Arial" w:cs="Arial" w:eastAsia="Arial" w:hAnsi="Arial"/>
                <w:sz w:val="20"/>
                <w:szCs w:val="20"/>
              </w:rPr>
              <w:t xml:space="preserve">___________________________________</w:t>
            </w:r>
          </w:p>
        </w:tc>
      </w:tr>
      <w:tr>
        <w:tc>
          <w:tcPr>
            <w:tcW w:type="dxa" w:w="450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sz w:val="20"/>
                <w:szCs w:val="20"/>
              </w:rPr>
              <w:t xml:space="preserve">Printed Name:</w:t>
            </w:r>
          </w:p>
        </w:tc>
        <w:tc>
          <w:tcPr>
            <w:tcW w:type="dxa" w:w="486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i/>
                <w:iCs/>
                <w:color w:val="185FA5"/>
                <w:sz w:val="20"/>
                <w:szCs w:val="20"/>
              </w:rPr>
              <w:t xml:space="preserve">Trevor Knight</w:t>
            </w:r>
          </w:p>
        </w:tc>
      </w:tr>
      <w:tr>
        <w:tc>
          <w:tcPr>
            <w:tcW w:type="dxa" w:w="450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sz w:val="20"/>
                <w:szCs w:val="20"/>
              </w:rPr>
              <w:t xml:space="preserve">Title:</w:t>
            </w:r>
          </w:p>
        </w:tc>
        <w:tc>
          <w:tcPr>
            <w:tcW w:type="dxa" w:w="486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i/>
                <w:iCs/>
                <w:color w:val="185FA5"/>
                <w:sz w:val="20"/>
                <w:szCs w:val="20"/>
              </w:rPr>
              <w:t xml:space="preserve">Principal / Authorized Signatory</w:t>
            </w:r>
          </w:p>
        </w:tc>
      </w:tr>
      <w:tr>
        <w:tc>
          <w:tcPr>
            <w:tcW w:type="dxa" w:w="450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sz w:val="20"/>
                <w:szCs w:val="20"/>
              </w:rPr>
              <w:t xml:space="preserve">Date:</w:t>
            </w:r>
          </w:p>
        </w:tc>
        <w:tc>
          <w:tcPr>
            <w:tcW w:type="dxa" w:w="486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i/>
                <w:iCs/>
                <w:color w:val="185FA5"/>
                <w:sz w:val="20"/>
                <w:szCs w:val="20"/>
              </w:rPr>
              <w:t xml:space="preserve">________________</w:t>
            </w:r>
          </w:p>
        </w:tc>
      </w:tr>
    </w:tbl>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r>
              <w:rPr>
                <w:rFonts w:ascii="Arial" w:cs="Arial" w:eastAsia="Arial" w:hAnsi="Arial"/>
                <w:b/>
                <w:bCs/>
                <w:sz w:val="20"/>
                <w:szCs w:val="20"/>
              </w:rPr>
              <w:t xml:space="preserve">PARTY 4: Merge4Ward LLC (to be formed — M4D and Motley LLC executing on behalf of entity to be formed)</w:t>
            </w:r>
          </w:p>
        </w:tc>
        <w:tc>
          <w:tcPr>
            <w:tcW w:type="dxa" w:w="48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sz w:val="20"/>
                <w:szCs w:val="20"/>
              </w:rPr>
              <w:t xml:space="preserve"> </w:t>
            </w:r>
          </w:p>
        </w:tc>
      </w:tr>
      <w:tr>
        <w:tc>
          <w:tcPr>
            <w:tcW w:type="dxa" w:w="450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sz w:val="20"/>
                <w:szCs w:val="20"/>
              </w:rPr>
              <w:t xml:space="preserve">Signature:</w:t>
            </w:r>
          </w:p>
        </w:tc>
        <w:tc>
          <w:tcPr>
            <w:tcW w:type="dxa" w:w="4860"/>
            <w:tcBorders>
              <w:top w:val="single" w:color="CCCCCC" w:sz="1"/>
              <w:left w:val="single" w:color="CCCCCC" w:sz="1"/>
              <w:bottom w:val="single" w:color="CCCCCC" w:sz="1"/>
              <w:right w:val="single" w:color="CCCCCC" w:sz="1"/>
            </w:tcBorders>
            <w:tcMar>
              <w:top w:type="dxa" w:w="80"/>
              <w:left w:type="dxa" w:w="200"/>
              <w:bottom w:type="dxa" w:w="200"/>
              <w:right w:type="dxa" w:w="200"/>
            </w:tcMar>
          </w:tcPr>
          <w:p>
            <w:r>
              <w:rPr>
                <w:rFonts w:ascii="Arial" w:cs="Arial" w:eastAsia="Arial" w:hAnsi="Arial"/>
                <w:sz w:val="20"/>
                <w:szCs w:val="20"/>
              </w:rPr>
              <w:t xml:space="preserve">___________________________________</w:t>
            </w:r>
          </w:p>
        </w:tc>
      </w:tr>
      <w:tr>
        <w:tc>
          <w:tcPr>
            <w:tcW w:type="dxa" w:w="450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sz w:val="20"/>
                <w:szCs w:val="20"/>
              </w:rPr>
              <w:t xml:space="preserve">Printed Name:</w:t>
            </w:r>
          </w:p>
        </w:tc>
        <w:tc>
          <w:tcPr>
            <w:tcW w:type="dxa" w:w="486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i/>
                <w:iCs/>
                <w:color w:val="185FA5"/>
                <w:sz w:val="20"/>
                <w:szCs w:val="20"/>
              </w:rPr>
              <w:t xml:space="preserve">[M4D and Motley LLC authorized signatories]</w:t>
            </w:r>
          </w:p>
        </w:tc>
      </w:tr>
      <w:tr>
        <w:tc>
          <w:tcPr>
            <w:tcW w:type="dxa" w:w="450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sz w:val="20"/>
                <w:szCs w:val="20"/>
              </w:rPr>
              <w:t xml:space="preserve">Title:</w:t>
            </w:r>
          </w:p>
        </w:tc>
        <w:tc>
          <w:tcPr>
            <w:tcW w:type="dxa" w:w="486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i/>
                <w:iCs/>
                <w:color w:val="185FA5"/>
                <w:sz w:val="20"/>
                <w:szCs w:val="20"/>
              </w:rPr>
              <w:t xml:space="preserve">[Titles]</w:t>
            </w:r>
          </w:p>
        </w:tc>
      </w:tr>
      <w:tr>
        <w:tc>
          <w:tcPr>
            <w:tcW w:type="dxa" w:w="450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sz w:val="20"/>
                <w:szCs w:val="20"/>
              </w:rPr>
              <w:t xml:space="preserve">Date:</w:t>
            </w:r>
          </w:p>
        </w:tc>
        <w:tc>
          <w:tcPr>
            <w:tcW w:type="dxa" w:w="486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i/>
                <w:iCs/>
                <w:color w:val="185FA5"/>
                <w:sz w:val="20"/>
                <w:szCs w:val="20"/>
              </w:rPr>
              <w:t xml:space="preserve">________________</w:t>
            </w:r>
          </w:p>
        </w:tc>
      </w:tr>
    </w:tbl>
    <w:p>
      <w:pPr>
        <w:spacing w:after="80" w:before="140"/>
      </w:pPr>
      <w:r>
        <w:t xml:space="preserve"/>
      </w:r>
    </w:p>
    <w:p>
      <w:pPr>
        <w:pBdr>
          <w:bottom w:val="single" w:color="196B23"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DECEA" w:val="clear"/>
            <w:tcMar>
              <w:top w:type="dxa" w:w="140"/>
              <w:left w:type="dxa" w:w="200"/>
              <w:bottom w:type="dxa" w:w="140"/>
              <w:right w:type="dxa" w:w="200"/>
            </w:tcMar>
          </w:tcPr>
          <w:p>
            <w:r>
              <w:rPr>
                <w:rFonts w:ascii="Arial" w:cs="Arial" w:eastAsia="Arial" w:hAnsi="Arial"/>
                <w:b/>
                <w:bCs/>
                <w:color w:val="CC0000"/>
                <w:sz w:val="21"/>
                <w:szCs w:val="21"/>
              </w:rPr>
              <w:t xml:space="preserve">DRAFT — Attorney review required before execution. Multiple entities named herein are not yet formed. Prepared by M4Di staff, May 2026. Not legal advice.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2026-05-05T23:32:25.252Z</dcterms:created>
  <dcterms:modified xsi:type="dcterms:W3CDTF">2026-05-05T23:32:25.252Z</dcterms:modified>
</cp:coreProperties>
</file>

<file path=docProps/custom.xml><?xml version="1.0" encoding="utf-8"?>
<Properties xmlns="http://schemas.openxmlformats.org/officeDocument/2006/custom-properties" xmlns:vt="http://schemas.openxmlformats.org/officeDocument/2006/docPropsVTypes"/>
</file>