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20"/>
          <w:szCs w:val="20"/>
        </w:rPr>
        <w:t xml:space="preserve">M4Di — Merge 4 Development Institute  ·  Central Baptist CDC</w:t>
      </w:r>
    </w:p>
    <w:p>
      <w:pPr>
        <w:spacing w:after="40"/>
      </w:pPr>
      <w:r>
        <w:rPr>
          <w:rFonts w:ascii="Arial" w:cs="Arial" w:eastAsia="Arial" w:hAnsi="Arial"/>
          <w:color w:val="555555"/>
          <w:sz w:val="20"/>
          <w:szCs w:val="20"/>
        </w:rPr>
        <w:t xml:space="preserve">Application Draft — Innovation Questions</w:t>
      </w:r>
    </w:p>
    <w:p>
      <w:pPr>
        <w:spacing w:after="40" w:before="80"/>
      </w:pPr>
      <w:r>
        <w:rPr>
          <w:rFonts w:ascii="Arial" w:cs="Arial" w:eastAsia="Arial" w:hAnsi="Arial"/>
          <w:b/>
          <w:bCs/>
          <w:color w:val="0C447C"/>
          <w:sz w:val="36"/>
          <w:szCs w:val="36"/>
        </w:rPr>
        <w:t xml:space="preserve">Housing Affordability Breakthrough Challenge</w:t>
      </w:r>
    </w:p>
    <w:p>
      <w:pPr>
        <w:spacing w:after="40"/>
      </w:pPr>
      <w:r>
        <w:rPr>
          <w:rFonts w:ascii="Arial" w:cs="Arial" w:eastAsia="Arial" w:hAnsi="Arial"/>
          <w:b/>
          <w:bCs/>
          <w:color w:val="185FA5"/>
          <w:sz w:val="22"/>
          <w:szCs w:val="22"/>
        </w:rPr>
        <w:t xml:space="preserve">Wells Fargo / Enterprise Community Partners  ·  2026 Cycle  ·  Deadline May 15, 2026</w:t>
      </w:r>
    </w:p>
    <w:p>
      <w:pPr>
        <w:spacing w:after="60"/>
      </w:pPr>
      <w:r>
        <w:rPr>
          <w:rFonts w:ascii="Arial" w:cs="Arial" w:eastAsia="Arial" w:hAnsi="Arial"/>
          <w:color w:val="555555"/>
          <w:sz w:val="20"/>
          <w:szCs w:val="20"/>
        </w:rPr>
        <w:t xml:space="preserve">Focus Area: Finance  ·  Lead Applicant: Central Baptist CDC  ·  Program: M4Di</w:t>
      </w:r>
    </w:p>
    <w:p>
      <w:pPr>
        <w:pBdr>
          <w:bottom w:val="single" w:color="185FA5" w:sz="8" w:space="1"/>
        </w:pBdr>
        <w:spacing w:after="140" w:before="140"/>
      </w:pPr>
      <w:r>
        <w:t xml:space="preserve"/>
      </w:r>
    </w:p>
    <w:p>
      <w:pPr>
        <w:spacing w:after="100" w:before="140"/>
      </w:pPr>
      <w:r>
        <w:rPr>
          <w:rFonts w:ascii="Arial" w:cs="Arial" w:eastAsia="Arial" w:hAnsi="Arial"/>
          <w:b/>
          <w:bCs/>
          <w:color w:val="0C447C"/>
          <w:sz w:val="24"/>
          <w:szCs w:val="24"/>
        </w:rPr>
        <w:t xml:space="preserve">Application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1"/>
              <w:left w:val="single" w:color="888888" w:sz="1"/>
              <w:bottom w:val="single" w:color="888888" w:sz="1"/>
              <w:right w:val="single" w:color="888888"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888888" w:sz="1"/>
              <w:left w:val="single" w:color="888888" w:sz="1"/>
              <w:bottom w:val="single" w:color="888888" w:sz="1"/>
              <w:right w:val="single" w:color="888888"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M4Di Operational Intelligence — Predevelopment Cost Platform</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Lead Applicant</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Central Baptist Community Development Corporation (legal name — confirm with Rev. Keeling)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Contact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Rev. Keeling — confirm title and email</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Focus Area</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Delaware, Pennsylvania, New Jersey, Maryland (all priority markets)</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Community Type</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Urban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Housing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Rental — serving residents at ≤80% AMI through nonprofit developer clients</w:t>
            </w:r>
          </w:p>
        </w:tc>
      </w:tr>
      <w:tr>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Grant Ask</w:t>
            </w:r>
          </w:p>
        </w:tc>
        <w:tc>
          <w:tcPr>
            <w:tcW w:type="dxa" w:w="63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$2,000,000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Partners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M4Di (program), Merge 4 Design LLC, Aubyn Architecture LLC, L.E.E.P., Inc.</w:t>
            </w:r>
          </w:p>
        </w:tc>
      </w:tr>
    </w:tbl>
    <w:p>
      <w:pPr>
        <w:spacing w:after="40" w:before="80"/>
      </w:pPr>
      <w:r>
        <w:rPr>
          <w:rFonts w:ascii="Arial" w:cs="Arial" w:eastAsia="Arial" w:hAnsi="Arial"/>
          <w:i/>
          <w:iCs/>
          <w:color w:val="AA6600"/>
          <w:sz w:val="18"/>
          <w:szCs w:val="18"/>
        </w:rPr>
        <w:t xml:space="preserve">NOTE: Housing type selection — M4Di serves as the predevelopment advisor to developers of both rental and homeownership projects. The primary eligible category is 'Rental ≤80% AMI' since the majority of M4Di's active pipeline serves rental community facilities and IDD residential. Confirm with Rev. Keeling and Trevor before submitting.</w:t>
      </w:r>
    </w:p>
    <w:p>
      <w:pPr>
        <w:pBdr>
          <w:bottom w:val="single" w:color="185FA5" w:sz="8" w:space="1"/>
        </w:pBdr>
        <w:spacing w:after="140" w:before="140"/>
      </w:pPr>
      <w:r>
        <w:t xml:space="preserve"/>
      </w:r>
    </w:p>
    <w:p>
      <w:pPr>
        <w:pBdr>
          <w:bottom w:val="single" w:color="BDD7EE" w:sz="4" w:space="1"/>
        </w:pBdr>
        <w:spacing w:after="100" w:before="280"/>
      </w:pPr>
      <w:r>
        <w:rPr>
          <w:rFonts w:ascii="Arial" w:cs="Arial" w:eastAsia="Arial" w:hAnsi="Arial"/>
          <w:b/>
          <w:bCs/>
          <w:color w:val="185FA5"/>
          <w:sz w:val="24"/>
          <w:szCs w:val="24"/>
        </w:rPr>
        <w:t xml:space="preserve">Q1  </w:t>
      </w:r>
      <w:r>
        <w:rPr>
          <w:rFonts w:ascii="Arial" w:cs="Arial" w:eastAsia="Arial" w:hAnsi="Arial"/>
          <w:b/>
          <w:bCs/>
          <w:color w:val="0C447C"/>
          <w:sz w:val="24"/>
          <w:szCs w:val="24"/>
        </w:rPr>
        <w:t xml:space="preserve">Innovation Name</w:t>
      </w:r>
      <w:r>
        <w:rPr>
          <w:rFonts w:ascii="Arial" w:cs="Arial" w:eastAsia="Arial" w:hAnsi="Arial"/>
          <w:i/>
          <w:iCs/>
          <w:color w:val="555555"/>
          <w:sz w:val="20"/>
          <w:szCs w:val="20"/>
        </w:rPr>
        <w:t xml:space="preserve">  [100 characters]</w:t>
      </w:r>
    </w:p>
    <w:p>
      <w:pPr>
        <w:spacing w:after="70" w:before="70"/>
      </w:pPr>
      <w:r>
        <w:rPr>
          <w:rFonts w:ascii="Arial" w:cs="Arial" w:eastAsia="Arial" w:hAnsi="Arial"/>
          <w:b/>
          <w:bCs/>
          <w:sz w:val="22"/>
          <w:szCs w:val="22"/>
        </w:rPr>
        <w:t xml:space="preserve">M4Di Operational Intelligence — Predevelopment Cost Platform</w:t>
      </w:r>
    </w:p>
    <w:p>
      <w:pPr>
        <w:spacing w:after="100" w:before="60"/>
      </w:pPr>
      <w:r>
        <w:rPr>
          <w:rFonts w:ascii="Arial" w:cs="Arial" w:eastAsia="Arial" w:hAnsi="Arial"/>
          <w:i/>
          <w:iCs/>
          <w:color w:val="196B23"/>
          <w:sz w:val="18"/>
          <w:szCs w:val="18"/>
        </w:rPr>
        <w:t xml:space="preserve">Character count: 60 / 100 (60% used)</w:t>
      </w:r>
    </w:p>
    <w:p>
      <w:pPr>
        <w:pBdr>
          <w:bottom w:val="single" w:color="BDD7EE" w:sz="4" w:space="1"/>
        </w:pBdr>
        <w:spacing w:after="100" w:before="280"/>
      </w:pPr>
      <w:r>
        <w:rPr>
          <w:rFonts w:ascii="Arial" w:cs="Arial" w:eastAsia="Arial" w:hAnsi="Arial"/>
          <w:b/>
          <w:bCs/>
          <w:color w:val="185FA5"/>
          <w:sz w:val="24"/>
          <w:szCs w:val="24"/>
        </w:rPr>
        <w:t xml:space="preserve">Q2  </w:t>
      </w:r>
      <w:r>
        <w:rPr>
          <w:rFonts w:ascii="Arial" w:cs="Arial" w:eastAsia="Arial" w:hAnsi="Arial"/>
          <w:b/>
          <w:bCs/>
          <w:color w:val="0C447C"/>
          <w:sz w:val="24"/>
          <w:szCs w:val="24"/>
        </w:rPr>
        <w:t xml:space="preserve">Focus Area</w:t>
      </w:r>
    </w:p>
    <w:p>
      <w:pPr>
        <w:spacing w:after="70" w:before="70"/>
      </w:pPr>
      <w:r>
        <w:rPr>
          <w:rFonts w:ascii="Arial" w:cs="Arial" w:eastAsia="Arial" w:hAnsi="Arial"/>
          <w:b/>
          <w:bCs/>
          <w:color w:val="185FA5"/>
          <w:sz w:val="22"/>
          <w:szCs w:val="22"/>
        </w:rPr>
        <w:t xml:space="preserve">✓  Finance</w:t>
      </w:r>
    </w:p>
    <w:p>
      <w:pPr>
        <w:spacing w:after="70" w:before="70"/>
      </w:pPr>
      <w:r>
        <w:rPr>
          <w:rFonts w:ascii="Arial" w:cs="Arial" w:eastAsia="Arial" w:hAnsi="Arial"/>
          <w:sz w:val="22"/>
          <w:szCs w:val="22"/>
        </w:rPr>
        <w:t xml:space="preserve">Rationale: M4Di removes the information asymmetry that prevents nonprofit community developers from accessing CDFI and housing finance capital. The OI Tool is a financial infrastructure innovation — it produces the independently verified construction cost basis that unlocks capital access for underserved organizations. This maps directly to Finance's definition: 'innovative solutions that broaden access to capital and remove systemic barriers.'</w:t>
      </w:r>
    </w:p>
    <w:p>
      <w:pPr>
        <w:pBdr>
          <w:bottom w:val="single" w:color="BDD7EE" w:sz="4" w:space="1"/>
        </w:pBdr>
        <w:spacing w:after="100" w:before="280"/>
      </w:pPr>
      <w:r>
        <w:rPr>
          <w:rFonts w:ascii="Arial" w:cs="Arial" w:eastAsia="Arial" w:hAnsi="Arial"/>
          <w:b/>
          <w:bCs/>
          <w:color w:val="185FA5"/>
          <w:sz w:val="24"/>
          <w:szCs w:val="24"/>
        </w:rPr>
        <w:t xml:space="preserve">Q3  </w:t>
      </w:r>
      <w:r>
        <w:rPr>
          <w:rFonts w:ascii="Arial" w:cs="Arial" w:eastAsia="Arial" w:hAnsi="Arial"/>
          <w:b/>
          <w:bCs/>
          <w:color w:val="0C447C"/>
          <w:sz w:val="24"/>
          <w:szCs w:val="24"/>
        </w:rPr>
        <w:t xml:space="preserve">Describe your innovation. Who will be served?</w:t>
      </w:r>
      <w:r>
        <w:rPr>
          <w:rFonts w:ascii="Arial" w:cs="Arial" w:eastAsia="Arial" w:hAnsi="Arial"/>
          <w:i/>
          <w:iCs/>
          <w:color w:val="555555"/>
          <w:sz w:val="20"/>
          <w:szCs w:val="20"/>
        </w:rPr>
        <w:t xml:space="preserve">  [3,000 characters]</w:t>
      </w:r>
    </w:p>
    <w:p>
      <w:pPr>
        <w:spacing w:after="70" w:before="70"/>
      </w:pPr>
      <w:r>
        <w:rPr>
          <w:rFonts w:ascii="Arial" w:cs="Arial" w:eastAsia="Arial" w:hAnsi="Arial"/>
          <w:sz w:val="22"/>
          <w:szCs w:val="22"/>
        </w:rPr>
        <w:t xml:space="preserve">Nonprofit community developers, faith-based organizations, CDFIs, and mission-driven project owners are making $2–20 million capital decisions without the cost intelligence that institutional developers use as a matter of course. Their construction budgets — assembled by developers under time pressure, without independent verification — routinely fail under LIHTC and HOME underwriting scrutiny, collapse at GMP, or produce projects that cannot close financing because the numbers were wrong from the beginning. This is not a funding gap. It is an information gap. M4Di closes it.</w:t>
      </w:r>
    </w:p>
    <w:p>
      <w:pPr>
        <w:spacing w:after="70" w:before="70"/>
      </w:pPr>
      <w:r>
        <w:rPr>
          <w:rFonts w:ascii="Arial" w:cs="Arial" w:eastAsia="Arial" w:hAnsi="Arial"/>
          <w:sz w:val="22"/>
          <w:szCs w:val="22"/>
        </w:rPr>
        <w:t xml:space="preserve">M4Di — Merge 4 Development Institute — is a predevelopment cost intelligence platform that provides independent, architect-led, regionally calibrated construction cost estimates to mission-owner community developers at the earliest feasible project stage. M4Di's Operational Intelligence (OI) Tool is a structured, validated estimating system covering the full CSI cost structure from site work through soft costs, calibrated to actual Mid-Atlantic subcontractor pricing using BLS OEWS regional labor data. Every engagement follows the FeasOps framework: P1 (site visit, zoning analysis, first ROM estimate) through P3 (full feasibility package, locked Gate 0 budget, procurement-ready RFP). Every closed project feeds the ALDDB Historical Cost Database — M4Di's growing regional benchmark asset.</w:t>
      </w:r>
    </w:p>
    <w:p>
      <w:pPr>
        <w:spacing w:after="70" w:before="70"/>
      </w:pPr>
      <w:r>
        <w:rPr>
          <w:rFonts w:ascii="Arial" w:cs="Arial" w:eastAsia="Arial" w:hAnsi="Arial"/>
          <w:sz w:val="22"/>
          <w:szCs w:val="22"/>
        </w:rPr>
        <w:t xml:space="preserve">The communities served are in Delaware, Pennsylvania, New Jersey, and Maryland: churches with aging facilities, CDFIs financing community health centers and IDD residential facilities, municipal agencies trying to replace substandard housing stock, and nonprofit developers whose projects need a credible, independently produced cost basis before a funder will move. These are organizations whose projects are most likely to fail without predevelopment cost intelligence — and least likely to have access to it without M4Di.</w:t>
      </w:r>
    </w:p>
    <w:p>
      <w:pPr>
        <w:spacing w:after="70" w:before="70"/>
      </w:pPr>
      <w:r>
        <w:rPr>
          <w:rFonts w:ascii="Arial" w:cs="Arial" w:eastAsia="Arial" w:hAnsi="Arial"/>
          <w:sz w:val="22"/>
          <w:szCs w:val="22"/>
        </w:rPr>
        <w:t xml:space="preserve">Grant funding will convert the OI Tool from a validated Excel platform into a secure web application, extending M4Di's reach from the 3–5 projects its principals can manually serve simultaneously to a platform accessible to 10–20 users including CDFI partners and affiliate practitioners.</w:t>
      </w:r>
    </w:p>
    <w:p>
      <w:pPr>
        <w:spacing w:after="100" w:before="60"/>
      </w:pPr>
      <w:r>
        <w:rPr>
          <w:rFonts w:ascii="Arial" w:cs="Arial" w:eastAsia="Arial" w:hAnsi="Arial"/>
          <w:i/>
          <w:iCs/>
          <w:color w:val="196B23"/>
          <w:sz w:val="18"/>
          <w:szCs w:val="18"/>
        </w:rPr>
        <w:t xml:space="preserve">Character count: 2,196 / 3,000 (73% used)</w:t>
      </w:r>
    </w:p>
    <w:p>
      <w:pPr>
        <w:pBdr>
          <w:bottom w:val="single" w:color="BDD7EE" w:sz="4" w:space="1"/>
        </w:pBdr>
        <w:spacing w:after="100" w:before="280"/>
      </w:pPr>
      <w:r>
        <w:rPr>
          <w:rFonts w:ascii="Arial" w:cs="Arial" w:eastAsia="Arial" w:hAnsi="Arial"/>
          <w:b/>
          <w:bCs/>
          <w:color w:val="185FA5"/>
          <w:sz w:val="24"/>
          <w:szCs w:val="24"/>
        </w:rPr>
        <w:t xml:space="preserve">Q4  </w:t>
      </w:r>
      <w:r>
        <w:rPr>
          <w:rFonts w:ascii="Arial" w:cs="Arial" w:eastAsia="Arial" w:hAnsi="Arial"/>
          <w:b/>
          <w:bCs/>
          <w:color w:val="0C447C"/>
          <w:sz w:val="24"/>
          <w:szCs w:val="24"/>
        </w:rPr>
        <w:t xml:space="preserve">How does your innovation align with the Finance focus area?</w:t>
      </w:r>
      <w:r>
        <w:rPr>
          <w:rFonts w:ascii="Arial" w:cs="Arial" w:eastAsia="Arial" w:hAnsi="Arial"/>
          <w:i/>
          <w:iCs/>
          <w:color w:val="555555"/>
          <w:sz w:val="20"/>
          <w:szCs w:val="20"/>
        </w:rPr>
        <w:t xml:space="preserve">  [1,500 characters]</w:t>
      </w:r>
    </w:p>
    <w:p>
      <w:pPr>
        <w:spacing w:after="70" w:before="70"/>
      </w:pPr>
      <w:r>
        <w:rPr>
          <w:rFonts w:ascii="Arial" w:cs="Arial" w:eastAsia="Arial" w:hAnsi="Arial"/>
          <w:sz w:val="22"/>
          <w:szCs w:val="22"/>
        </w:rPr>
        <w:t xml:space="preserve">M4Di's OI Tool aligns with the Finance focus area across all three eligible innovation pathways.</w:t>
      </w:r>
    </w:p>
    <w:p>
      <w:pPr>
        <w:spacing w:after="70" w:before="70"/>
      </w:pPr>
      <w:r>
        <w:rPr>
          <w:rFonts w:ascii="Arial" w:cs="Arial" w:eastAsia="Arial" w:hAnsi="Arial"/>
          <w:sz w:val="22"/>
          <w:szCs w:val="22"/>
        </w:rPr>
        <w:t xml:space="preserve">Broadening access to capital by removing systemic barriers: The most persistent barrier to CDFI and housing finance agency confidence in nonprofit community facility projects is construction budget credibility. Organizations applying for LIHTC, HOME, CDBG, or HUD Section 202 financing routinely present budgets that funders cannot independently verify. M4Di's architect-produced, methodology-grounded ROM estimate gives those funders a defensible cost basis — produced before design fees are committed, by a party with no financial interest in the project proceeding. This removes the information asymmetry that causes projects to fail at the funding table.</w:t>
      </w:r>
    </w:p>
    <w:p>
      <w:pPr>
        <w:spacing w:after="70" w:before="70"/>
      </w:pPr>
      <w:r>
        <w:rPr>
          <w:rFonts w:ascii="Arial" w:cs="Arial" w:eastAsia="Arial" w:hAnsi="Arial"/>
          <w:sz w:val="22"/>
          <w:szCs w:val="22"/>
        </w:rPr>
        <w:t xml:space="preserve">Streamlining lending processes to save time and money: CDFI underwriters currently spend significant staff time reconciling developer-submitted construction budgets against market rates. M4Di's OI Tool, formatted to common funder budget templates (LIHTC, HOME, CDBG), delivers a pre-reconciled cost basis that compresses underwriting timelines and reduces the due diligence burden on lending staff. Every hour saved in CDFI underwriting is an hour redirected to deploying capital in underserved communities.</w:t>
      </w:r>
    </w:p>
    <w:p>
      <w:pPr>
        <w:spacing w:after="70" w:before="70"/>
      </w:pPr>
      <w:r>
        <w:rPr>
          <w:rFonts w:ascii="Arial" w:cs="Arial" w:eastAsia="Arial" w:hAnsi="Arial"/>
          <w:sz w:val="22"/>
          <w:szCs w:val="22"/>
        </w:rPr>
        <w:t xml:space="preserve">Expanding access to capital for households and communities: When project budgets are credible from the start, projects close. They close faster, with fewer amendments, and with less cost growth during design. The direct result is more affordable units delivered per dollar of public subsidy — the Finance category's core affordability outcome.</w:t>
      </w:r>
    </w:p>
    <w:p>
      <w:pPr>
        <w:spacing w:after="100" w:before="60"/>
      </w:pPr>
      <w:r>
        <w:rPr>
          <w:rFonts w:ascii="Arial" w:cs="Arial" w:eastAsia="Arial" w:hAnsi="Arial"/>
          <w:i/>
          <w:iCs/>
          <w:color w:val="CC0000"/>
          <w:sz w:val="18"/>
          <w:szCs w:val="18"/>
        </w:rPr>
        <w:t xml:space="preserve">Character count: 1,610 / 1,500 (107% used)</w:t>
      </w:r>
    </w:p>
    <w:p>
      <w:pPr>
        <w:pBdr>
          <w:bottom w:val="single" w:color="BDD7EE" w:sz="4" w:space="1"/>
        </w:pBdr>
        <w:spacing w:after="100" w:before="280"/>
      </w:pPr>
      <w:r>
        <w:rPr>
          <w:rFonts w:ascii="Arial" w:cs="Arial" w:eastAsia="Arial" w:hAnsi="Arial"/>
          <w:b/>
          <w:bCs/>
          <w:color w:val="185FA5"/>
          <w:sz w:val="24"/>
          <w:szCs w:val="24"/>
        </w:rPr>
        <w:t xml:space="preserve">Q5  </w:t>
      </w:r>
      <w:r>
        <w:rPr>
          <w:rFonts w:ascii="Arial" w:cs="Arial" w:eastAsia="Arial" w:hAnsi="Arial"/>
          <w:b/>
          <w:bCs/>
          <w:color w:val="0C447C"/>
          <w:sz w:val="24"/>
          <w:szCs w:val="24"/>
        </w:rPr>
        <w:t xml:space="preserve">Demonstrated impact and measurable outcomes to date</w:t>
      </w:r>
      <w:r>
        <w:rPr>
          <w:rFonts w:ascii="Arial" w:cs="Arial" w:eastAsia="Arial" w:hAnsi="Arial"/>
          <w:i/>
          <w:iCs/>
          <w:color w:val="555555"/>
          <w:sz w:val="20"/>
          <w:szCs w:val="20"/>
        </w:rPr>
        <w:t xml:space="preserve">  [3,000 characters]</w:t>
      </w:r>
    </w:p>
    <w:p>
      <w:pPr>
        <w:spacing w:after="70" w:before="70"/>
      </w:pPr>
      <w:r>
        <w:rPr>
          <w:rFonts w:ascii="Arial" w:cs="Arial" w:eastAsia="Arial" w:hAnsi="Arial"/>
          <w:sz w:val="22"/>
          <w:szCs w:val="22"/>
        </w:rPr>
        <w:t xml:space="preserve">M4Di's OI Tool is not theoretical. It is a working, validated estimating system in active use on client engagements representing over $59 million in project ROM across four active project types.</w:t>
      </w:r>
    </w:p>
    <w:p>
      <w:pPr>
        <w:spacing w:after="70" w:before="70"/>
      </w:pPr>
      <w:r>
        <w:rPr>
          <w:rFonts w:ascii="Arial" w:cs="Arial" w:eastAsia="Arial" w:hAnsi="Arial"/>
          <w:sz w:val="22"/>
          <w:szCs w:val="22"/>
        </w:rPr>
        <w:t xml:space="preserve">Active project evidence: The M-Well Community Health Campus (3110 Philadelphia Pike, Claymont, DE) is M4Di's primary demonstration engagement: a 129,352 SF two-phase development including a 27,452 SF adaptive reuse school (Phase 1, IDD residential, 112 beds) and a 102,900 SF new construction Wellness Pavilion (Phase 2). M4Di's G0 ROM is locked at $59,154,299 ($456/SF blended). Architecture fees are $1.73M total. This is a full P1 through G0 engagement — zoning analysis, multi-phase program, unit mix, CSI-structured quantity takeoff, soft cost schedule, and locked Gate 0 budget — produced using the OI Tool.</w:t>
      </w:r>
    </w:p>
    <w:p>
      <w:pPr>
        <w:spacing w:after="70" w:before="70"/>
      </w:pPr>
      <w:r>
        <w:rPr>
          <w:rFonts w:ascii="Arial" w:cs="Arial" w:eastAsia="Arial" w:hAnsi="Arial"/>
          <w:sz w:val="22"/>
          <w:szCs w:val="22"/>
        </w:rPr>
        <w:t xml:space="preserve">The Merge4Ward dual-site feasibility study (April 2026) produced a G0 ROM for a CLT/SIP hybrid townhouse program on two Wilmington sites, establishing a per-unit benchmark in the $240,000–$270,000 range — calibrated to actual subcontractor pricing, not national cost databases.</w:t>
      </w:r>
    </w:p>
    <w:p>
      <w:pPr>
        <w:spacing w:after="70" w:before="70"/>
      </w:pPr>
      <w:r>
        <w:rPr>
          <w:rFonts w:ascii="Arial" w:cs="Arial" w:eastAsia="Arial" w:hAnsi="Arial"/>
          <w:sz w:val="22"/>
          <w:szCs w:val="22"/>
        </w:rPr>
        <w:t xml:space="preserve">The Claymont Hybrid Townhouse project (AE24-002) is in active permit application with the City of Wilmington AHJ — the first CLT/SIP hybrid construction application in Delaware state history. M4Di's OI Tool produced the predevelopment ROM that established project feasibility before the design team was engaged.</w:t>
      </w:r>
    </w:p>
    <w:p>
      <w:pPr>
        <w:spacing w:after="70" w:before="70"/>
      </w:pPr>
      <w:r>
        <w:rPr>
          <w:rFonts w:ascii="Arial" w:cs="Arial" w:eastAsia="Arial" w:hAnsi="Arial"/>
          <w:sz w:val="22"/>
          <w:szCs w:val="22"/>
        </w:rPr>
        <w:t xml:space="preserve">Central Baptist CDC feasibility analysis: M4Di has produced predevelopment cost intelligence for CB CDC's community development pipeline, directly supporting the fiscal sponsor relationship that enables this grant application.</w:t>
      </w:r>
    </w:p>
    <w:p>
      <w:pPr>
        <w:spacing w:after="70" w:before="70"/>
      </w:pPr>
      <w:r>
        <w:rPr>
          <w:rFonts w:ascii="Arial" w:cs="Arial" w:eastAsia="Arial" w:hAnsi="Arial"/>
          <w:sz w:val="22"/>
          <w:szCs w:val="22"/>
        </w:rPr>
        <w:t xml:space="preserve">Methodology outcomes: M4Di's OI Tool produces G0 ROM estimates with a target accuracy of ±10% against GMP — validated against the Residences at Poplar prefilled case study (G0 to actual variance: +5.0%). Every closed engagement feeds the ALDDB benchmark database, compounding accuracy over time.</w:t>
      </w:r>
    </w:p>
    <w:p>
      <w:pPr>
        <w:spacing w:after="100" w:before="60"/>
      </w:pPr>
      <w:r>
        <w:rPr>
          <w:rFonts w:ascii="Arial" w:cs="Arial" w:eastAsia="Arial" w:hAnsi="Arial"/>
          <w:i/>
          <w:iCs/>
          <w:color w:val="196B23"/>
          <w:sz w:val="18"/>
          <w:szCs w:val="18"/>
        </w:rPr>
        <w:t xml:space="preserve">Character count: 1,926 / 3,000 (64% used)</w:t>
      </w:r>
    </w:p>
    <w:p>
      <w:pPr>
        <w:pBdr>
          <w:bottom w:val="single" w:color="BDD7EE" w:sz="4" w:space="1"/>
        </w:pBdr>
        <w:spacing w:after="100" w:before="280"/>
      </w:pPr>
      <w:r>
        <w:rPr>
          <w:rFonts w:ascii="Arial" w:cs="Arial" w:eastAsia="Arial" w:hAnsi="Arial"/>
          <w:b/>
          <w:bCs/>
          <w:color w:val="185FA5"/>
          <w:sz w:val="24"/>
          <w:szCs w:val="24"/>
        </w:rPr>
        <w:t xml:space="preserve">Q6  </w:t>
      </w:r>
      <w:r>
        <w:rPr>
          <w:rFonts w:ascii="Arial" w:cs="Arial" w:eastAsia="Arial" w:hAnsi="Arial"/>
          <w:b/>
          <w:bCs/>
          <w:color w:val="0C447C"/>
          <w:sz w:val="24"/>
          <w:szCs w:val="24"/>
        </w:rPr>
        <w:t xml:space="preserve">How will this award enable you to scale the demonstrated impact?</w:t>
      </w:r>
      <w:r>
        <w:rPr>
          <w:rFonts w:ascii="Arial" w:cs="Arial" w:eastAsia="Arial" w:hAnsi="Arial"/>
          <w:i/>
          <w:iCs/>
          <w:color w:val="555555"/>
          <w:sz w:val="20"/>
          <w:szCs w:val="20"/>
        </w:rPr>
        <w:t xml:space="preserve">  [3,000 characters]</w:t>
      </w:r>
    </w:p>
    <w:p>
      <w:pPr>
        <w:spacing w:after="70" w:before="70"/>
      </w:pPr>
      <w:r>
        <w:rPr>
          <w:rFonts w:ascii="Arial" w:cs="Arial" w:eastAsia="Arial" w:hAnsi="Arial"/>
          <w:sz w:val="22"/>
          <w:szCs w:val="22"/>
        </w:rPr>
        <w:t xml:space="preserve">The $2 million award would fund two parallel scale strategies that together convert M4Di from a boutique predevelopment practice into a platform-level predevelopment intelligence infrastructure for the Mid-Atlantic mission-owner community development market.</w:t>
      </w:r>
    </w:p>
    <w:p>
      <w:pPr>
        <w:spacing w:after="70" w:before="70"/>
      </w:pPr>
      <w:r>
        <w:rPr>
          <w:rFonts w:ascii="Arial" w:cs="Arial" w:eastAsia="Arial" w:hAnsi="Arial"/>
          <w:sz w:val="22"/>
          <w:szCs w:val="22"/>
        </w:rPr>
        <w:t xml:space="preserve">Scale Up — Web Application Platform</w:t>
      </w:r>
    </w:p>
    <w:p>
      <w:pPr>
        <w:spacing w:after="70" w:before="70"/>
      </w:pPr>
      <w:r>
        <w:rPr>
          <w:rFonts w:ascii="Arial" w:cs="Arial" w:eastAsia="Arial" w:hAnsi="Arial"/>
          <w:sz w:val="22"/>
          <w:szCs w:val="22"/>
        </w:rPr>
        <w:t xml:space="preserve">The OI Tool is currently a validated Excel workbook operable by M4Di's principals only. The grant funds conversion to a secure, multi-user web application supporting 10–20 simultaneous users including M4Di staff, CDFI portfolio partners, and affiliate practitioners. The web application adds: cloud-hosted ALDDB benchmark database accessible to CDFI underwriters as a due diligence tool; AI Advisor feature generating scope narratives and flagging cost risks against historical benchmarks; funder-ready budget export mapped to LIHTC, HOME, CDBG, and HUD Section 202 formats; and Regrid API integration for address-driven parcel and zoning data auto-population. This infrastructure makes M4Di's methodology deliverable at volume — without proportional founder labor.</w:t>
      </w:r>
    </w:p>
    <w:p>
      <w:pPr>
        <w:spacing w:after="70" w:before="70"/>
      </w:pPr>
      <w:r>
        <w:rPr>
          <w:rFonts w:ascii="Arial" w:cs="Arial" w:eastAsia="Arial" w:hAnsi="Arial"/>
          <w:sz w:val="22"/>
          <w:szCs w:val="22"/>
        </w:rPr>
        <w:t xml:space="preserve">Scale Out — M4Di Academy and Affiliate Network</w:t>
      </w:r>
    </w:p>
    <w:p>
      <w:pPr>
        <w:spacing w:after="70" w:before="70"/>
      </w:pPr>
      <w:r>
        <w:rPr>
          <w:rFonts w:ascii="Arial" w:cs="Arial" w:eastAsia="Arial" w:hAnsi="Arial"/>
          <w:sz w:val="22"/>
          <w:szCs w:val="22"/>
        </w:rPr>
        <w:t xml:space="preserve">The grant funds the first two cohorts of the M4Di Academy — a practitioner certification program training nonprofit project managers, CDFI portfolio officers, and community development professionals in architect-led predevelopment cost methodology. Certified practitioners become M4Di affiliates, delivering FeasOps-methodology engagements in markets M4Di's principals cannot physically serve. Target: 15 Academy graduates per cohort, 2 cohorts in the grant period, 5 affiliates active in Year 3.</w:t>
      </w:r>
    </w:p>
    <w:p>
      <w:pPr>
        <w:spacing w:after="70" w:before="70"/>
      </w:pPr>
      <w:r>
        <w:rPr>
          <w:rFonts w:ascii="Arial" w:cs="Arial" w:eastAsia="Arial" w:hAnsi="Arial"/>
          <w:sz w:val="22"/>
          <w:szCs w:val="22"/>
        </w:rPr>
        <w:t xml:space="preserve">Scale Up — CDFI Portfolio Intelligence</w:t>
      </w:r>
    </w:p>
    <w:p>
      <w:pPr>
        <w:spacing w:after="70" w:before="70"/>
      </w:pPr>
      <w:r>
        <w:rPr>
          <w:rFonts w:ascii="Arial" w:cs="Arial" w:eastAsia="Arial" w:hAnsi="Arial"/>
          <w:sz w:val="22"/>
          <w:szCs w:val="22"/>
        </w:rPr>
        <w:t xml:space="preserve">Grant funding enables M4Di to formalize relationships with 2–3 CDFIs as portfolio intelligence partners — CDFIs that reference M4Di's ALDDB benchmarks in community facility loan underwriting and require the ALDi Budget Tracker as a condition of construction financing. This embeds M4Di's methodology into institutional lending processes sector-wide, creating the systems-level adoption that defines breakthrough impact.</w:t>
      </w:r>
    </w:p>
    <w:p>
      <w:pPr>
        <w:spacing w:after="70" w:before="70"/>
      </w:pPr>
      <w:r>
        <w:rPr>
          <w:rFonts w:ascii="Arial" w:cs="Arial" w:eastAsia="Arial" w:hAnsi="Arial"/>
          <w:sz w:val="22"/>
          <w:szCs w:val="22"/>
        </w:rPr>
        <w:t xml:space="preserve">Scale Up — CLT/SIP Manufacturing Market Study Seed</w:t>
      </w:r>
    </w:p>
    <w:p>
      <w:pPr>
        <w:spacing w:after="70" w:before="70"/>
      </w:pPr>
      <w:r>
        <w:rPr>
          <w:rFonts w:ascii="Arial" w:cs="Arial" w:eastAsia="Arial" w:hAnsi="Arial"/>
          <w:sz w:val="22"/>
          <w:szCs w:val="22"/>
        </w:rPr>
        <w:t xml:space="preserve">The grant seeds the predevelopment phase of a Mid-Atlantic CLT/SIP manufacturing facility — a regional supply chain solution that would eliminate the $8–15/SF freight premium currently making mass timber construction cost-prohibitive for affordable housing developers.</w:t>
      </w:r>
    </w:p>
    <w:p>
      <w:pPr>
        <w:spacing w:after="100" w:before="60"/>
      </w:pPr>
      <w:r>
        <w:rPr>
          <w:rFonts w:ascii="Arial" w:cs="Arial" w:eastAsia="Arial" w:hAnsi="Arial"/>
          <w:i/>
          <w:iCs/>
          <w:color w:val="196B23"/>
          <w:sz w:val="18"/>
          <w:szCs w:val="18"/>
        </w:rPr>
        <w:t xml:space="preserve">Character count: 2,391 / 3,000 (80% used)</w:t>
      </w:r>
    </w:p>
    <w:p>
      <w:pPr>
        <w:pBdr>
          <w:bottom w:val="single" w:color="BDD7EE" w:sz="4" w:space="1"/>
        </w:pBdr>
        <w:spacing w:after="100" w:before="280"/>
      </w:pPr>
      <w:r>
        <w:rPr>
          <w:rFonts w:ascii="Arial" w:cs="Arial" w:eastAsia="Arial" w:hAnsi="Arial"/>
          <w:b/>
          <w:bCs/>
          <w:color w:val="185FA5"/>
          <w:sz w:val="24"/>
          <w:szCs w:val="24"/>
        </w:rPr>
        <w:t xml:space="preserve">Q7  </w:t>
      </w:r>
      <w:r>
        <w:rPr>
          <w:rFonts w:ascii="Arial" w:cs="Arial" w:eastAsia="Arial" w:hAnsi="Arial"/>
          <w:b/>
          <w:bCs/>
          <w:color w:val="0C447C"/>
          <w:sz w:val="24"/>
          <w:szCs w:val="24"/>
        </w:rPr>
        <w:t xml:space="preserve">Does your innovation address persistent challenges in affordable housing?</w:t>
      </w:r>
      <w:r>
        <w:rPr>
          <w:rFonts w:ascii="Arial" w:cs="Arial" w:eastAsia="Arial" w:hAnsi="Arial"/>
          <w:i/>
          <w:iCs/>
          <w:color w:val="555555"/>
          <w:sz w:val="20"/>
          <w:szCs w:val="20"/>
        </w:rPr>
        <w:t xml:space="preserve">  [1,500 characters]</w:t>
      </w:r>
    </w:p>
    <w:p>
      <w:pPr>
        <w:spacing w:after="70" w:before="70"/>
      </w:pPr>
      <w:r>
        <w:rPr>
          <w:rFonts w:ascii="Arial" w:cs="Arial" w:eastAsia="Arial" w:hAnsi="Arial"/>
          <w:sz w:val="22"/>
          <w:szCs w:val="22"/>
        </w:rPr>
        <w:t xml:space="preserve">M4Di directly addresses three persistent structural challenges in affordable housing and community facility development.</w:t>
      </w:r>
    </w:p>
    <w:p>
      <w:pPr>
        <w:spacing w:after="70" w:before="70"/>
      </w:pPr>
      <w:r>
        <w:rPr>
          <w:rFonts w:ascii="Arial" w:cs="Arial" w:eastAsia="Arial" w:hAnsi="Arial"/>
          <w:sz w:val="22"/>
          <w:szCs w:val="22"/>
        </w:rPr>
        <w:t xml:space="preserve">Construction cost estimation credibility: LIHTC, HOME, and CDBG applications routinely fail or stall because construction budgets lack independent verification. State housing finance agencies — Delaware DSHA, Maryland DHCD, New Jersey HMFA, Pennsylvania PHFA — cannot efficiently evaluate developer-submitted budgets that are self-produced and unverifiable. M4Di's architect-produced, methodology-documented ROM estimate is an independently verifiable cost document that housing finance agencies can evaluate against regional benchmarks. This directly addresses the single most common reason affordable housing applications are returned, delayed, or conditioned.</w:t>
      </w:r>
    </w:p>
    <w:p>
      <w:pPr>
        <w:spacing w:after="70" w:before="70"/>
      </w:pPr>
      <w:r>
        <w:rPr>
          <w:rFonts w:ascii="Arial" w:cs="Arial" w:eastAsia="Arial" w:hAnsi="Arial"/>
          <w:sz w:val="22"/>
          <w:szCs w:val="22"/>
        </w:rPr>
        <w:t xml:space="preserve">Zoning complexity and predevelopment information gaps: M4Di's OI Tool includes a structured ZONING &amp; CODE ANALYSIS tab that produces a complete zoning compliance summary, IBC use group analysis, and program summary for every engagement — before an architect is under contract. This gives nonprofit developers and their funders an accurate picture of site capacity, setback constraints, and regulatory requirements at the earliest stage, preventing the costly redesign cycles that occur when zoning constraints are discovered after design begins. The planned Regrid API integration will auto-populate parcel data by address, further compressing the predevelopment information gap.</w:t>
      </w:r>
    </w:p>
    <w:p>
      <w:pPr>
        <w:spacing w:after="70" w:before="70"/>
      </w:pPr>
      <w:r>
        <w:rPr>
          <w:rFonts w:ascii="Arial" w:cs="Arial" w:eastAsia="Arial" w:hAnsi="Arial"/>
          <w:sz w:val="22"/>
          <w:szCs w:val="22"/>
        </w:rPr>
        <w:t xml:space="preserve">Cost constraints on mission-owner projects: Mission-owner community developers cannot afford the predevelopment advisory services that institutional developers use as standard practice. M4Di's fixed-fee FeasOps model — P1 at $8,000, P2 at $14,000, P3 at $22,000 — makes architect-led predevelopment cost intelligence accessible at a price point designed for the nonprofit market. The web application further reduces the marginal cost of each engagement, enabling M4Di to serve more organizations per dollar of overhead.</w:t>
      </w:r>
    </w:p>
    <w:p>
      <w:pPr>
        <w:spacing w:after="100" w:before="60"/>
      </w:pPr>
      <w:r>
        <w:rPr>
          <w:rFonts w:ascii="Arial" w:cs="Arial" w:eastAsia="Arial" w:hAnsi="Arial"/>
          <w:i/>
          <w:iCs/>
          <w:color w:val="CC0000"/>
          <w:sz w:val="18"/>
          <w:szCs w:val="18"/>
        </w:rPr>
        <w:t xml:space="preserve">Character count: 1,986 / 1,500 (132% used)</w:t>
      </w:r>
    </w:p>
    <w:p>
      <w:pPr>
        <w:pBdr>
          <w:bottom w:val="single" w:color="BDD7EE" w:sz="4" w:space="1"/>
        </w:pBdr>
        <w:spacing w:after="100" w:before="280"/>
      </w:pPr>
      <w:r>
        <w:rPr>
          <w:rFonts w:ascii="Arial" w:cs="Arial" w:eastAsia="Arial" w:hAnsi="Arial"/>
          <w:b/>
          <w:bCs/>
          <w:color w:val="185FA5"/>
          <w:sz w:val="24"/>
          <w:szCs w:val="24"/>
        </w:rPr>
        <w:t xml:space="preserve">Q8  </w:t>
      </w:r>
      <w:r>
        <w:rPr>
          <w:rFonts w:ascii="Arial" w:cs="Arial" w:eastAsia="Arial" w:hAnsi="Arial"/>
          <w:b/>
          <w:bCs/>
          <w:color w:val="0C447C"/>
          <w:sz w:val="24"/>
          <w:szCs w:val="24"/>
        </w:rPr>
        <w:t xml:space="preserve">Overview of organizational capabilities and expertise</w:t>
      </w:r>
      <w:r>
        <w:rPr>
          <w:rFonts w:ascii="Arial" w:cs="Arial" w:eastAsia="Arial" w:hAnsi="Arial"/>
          <w:i/>
          <w:iCs/>
          <w:color w:val="555555"/>
          <w:sz w:val="20"/>
          <w:szCs w:val="20"/>
        </w:rPr>
        <w:t xml:space="preserve">  [2,000 characters]</w:t>
      </w:r>
    </w:p>
    <w:p>
      <w:pPr>
        <w:spacing w:after="70" w:before="70"/>
      </w:pPr>
      <w:r>
        <w:rPr>
          <w:rFonts w:ascii="Arial" w:cs="Arial" w:eastAsia="Arial" w:hAnsi="Arial"/>
          <w:sz w:val="22"/>
          <w:szCs w:val="22"/>
        </w:rPr>
        <w:t xml:space="preserve">M4Di's team combines licensed architectural practice, independent predevelopment cost methodology, nonprofit fiscal management, and strategic partnership development — the four capabilities required to deliver and scale predevelopment cost intelligence in the mission-owner community development market.</w:t>
      </w:r>
    </w:p>
    <w:p>
      <w:pPr>
        <w:spacing w:after="70" w:before="70"/>
      </w:pPr>
      <w:r>
        <w:rPr>
          <w:rFonts w:ascii="Arial" w:cs="Arial" w:eastAsia="Arial" w:hAnsi="Arial"/>
          <w:sz w:val="22"/>
          <w:szCs w:val="22"/>
        </w:rPr>
        <w:t xml:space="preserve">David C. Ainsworth, AIA (Predevelopment Lead) holds active architectural licensure in Delaware (RA-0026498-A), Pennsylvania, and Connecticut. David designed and validated the M4Di OI Tool's 16-tab, 1,000+ formula estimating methodology, including the CSI-structured unit price library, BLS OEWS regional labor factor system, and ALDi gate control architecture. David leads every FeasOps engagement from P1 through G0 lock.</w:t>
      </w:r>
    </w:p>
    <w:p>
      <w:pPr>
        <w:spacing w:after="70" w:before="70"/>
      </w:pPr>
      <w:r>
        <w:rPr>
          <w:rFonts w:ascii="Arial" w:cs="Arial" w:eastAsia="Arial" w:hAnsi="Arial"/>
          <w:sz w:val="22"/>
          <w:szCs w:val="22"/>
        </w:rPr>
        <w:t xml:space="preserve">Trevor Knight (GMD / Strategy) leads M4Di's client relationships, CDFI outreach, and strategic partnership development. Trevor is the primary relationship lead for WHA (Wilmington Housing Authority), Central Baptist CDC, and M4Di's emerging CDFI partner network.</w:t>
      </w:r>
    </w:p>
    <w:p>
      <w:pPr>
        <w:spacing w:after="70" w:before="70"/>
      </w:pPr>
      <w:r>
        <w:rPr>
          <w:rFonts w:ascii="Arial" w:cs="Arial" w:eastAsia="Arial" w:hAnsi="Arial"/>
          <w:sz w:val="22"/>
          <w:szCs w:val="22"/>
        </w:rPr>
        <w:t xml:space="preserve">Travis Davis (General Managing Director / Platform) leads M4Di's visualization, BIM production, and technology infrastructure. Travis is designated as the primary operator of the OI Tool web application upon completion and manages the CBai AI assistant system (Claude API + local Ollama server).</w:t>
      </w:r>
    </w:p>
    <w:p>
      <w:pPr>
        <w:spacing w:after="70" w:before="70"/>
      </w:pPr>
      <w:r>
        <w:rPr>
          <w:rFonts w:ascii="Arial" w:cs="Arial" w:eastAsia="Arial" w:hAnsi="Arial"/>
          <w:sz w:val="22"/>
          <w:szCs w:val="22"/>
        </w:rPr>
        <w:t xml:space="preserve">Leo Lynch (Operations / Grants) manages M4Di's financial operations, grant compliance, and CDFI reporting relationships. Leo oversees the ALDDB data entry process and grant budget management.</w:t>
      </w:r>
    </w:p>
    <w:p>
      <w:pPr>
        <w:spacing w:after="70" w:before="70"/>
      </w:pPr>
      <w:r>
        <w:rPr>
          <w:rFonts w:ascii="Arial" w:cs="Arial" w:eastAsia="Arial" w:hAnsi="Arial"/>
          <w:sz w:val="22"/>
          <w:szCs w:val="22"/>
        </w:rPr>
        <w:t xml:space="preserve">Central Baptist CDC (Dr. Rev. Keeling) serves as M4Di's 501(c)(3) fiscal sponsor, providing financial oversight, grant receipt, and community development credibility. CB CDC's deep roots in Wilmington's faith-based and nonprofit development community extend M4Di's reach into the specific market segment most underserved by predevelopment cost intelligence.</w:t>
      </w:r>
    </w:p>
    <w:p>
      <w:pPr>
        <w:spacing w:after="70" w:before="70"/>
      </w:pPr>
      <w:r>
        <w:rPr>
          <w:rFonts w:ascii="Arial" w:cs="Arial" w:eastAsia="Arial" w:hAnsi="Arial"/>
          <w:sz w:val="22"/>
          <w:szCs w:val="22"/>
        </w:rPr>
        <w:t xml:space="preserve">Partner firms: Merge 4 Design LLC (architecture and construction consulting), Aubyn Architecture LLC (licensed AOR services, DE/PA/CT), and L.E.E.P., Inc. (community development partner, Wilmington) complete the delivery ecosystem.</w:t>
      </w:r>
    </w:p>
    <w:p>
      <w:pPr>
        <w:spacing w:after="100" w:before="60"/>
      </w:pPr>
      <w:r>
        <w:rPr>
          <w:rFonts w:ascii="Arial" w:cs="Arial" w:eastAsia="Arial" w:hAnsi="Arial"/>
          <w:i/>
          <w:iCs/>
          <w:color w:val="CC0000"/>
          <w:sz w:val="18"/>
          <w:szCs w:val="18"/>
        </w:rPr>
        <w:t xml:space="preserve">Character count: 2,073 / 2,000 (104% used)</w:t>
      </w:r>
    </w:p>
    <w:p>
      <w:pPr>
        <w:pBdr>
          <w:bottom w:val="single" w:color="BDD7EE" w:sz="4" w:space="1"/>
        </w:pBdr>
        <w:spacing w:after="100" w:before="280"/>
      </w:pPr>
      <w:r>
        <w:rPr>
          <w:rFonts w:ascii="Arial" w:cs="Arial" w:eastAsia="Arial" w:hAnsi="Arial"/>
          <w:b/>
          <w:bCs/>
          <w:color w:val="185FA5"/>
          <w:sz w:val="24"/>
          <w:szCs w:val="24"/>
        </w:rPr>
        <w:t xml:space="preserve">Q9  </w:t>
      </w:r>
      <w:r>
        <w:rPr>
          <w:rFonts w:ascii="Arial" w:cs="Arial" w:eastAsia="Arial" w:hAnsi="Arial"/>
          <w:b/>
          <w:bCs/>
          <w:color w:val="0C447C"/>
          <w:sz w:val="24"/>
          <w:szCs w:val="24"/>
        </w:rPr>
        <w:t xml:space="preserve">How will this award expand your reach, networks, and partnerships?</w:t>
      </w:r>
      <w:r>
        <w:rPr>
          <w:rFonts w:ascii="Arial" w:cs="Arial" w:eastAsia="Arial" w:hAnsi="Arial"/>
          <w:i/>
          <w:iCs/>
          <w:color w:val="555555"/>
          <w:sz w:val="20"/>
          <w:szCs w:val="20"/>
        </w:rPr>
        <w:t xml:space="preserve">  [1,500 characters]</w:t>
      </w:r>
    </w:p>
    <w:p>
      <w:pPr>
        <w:spacing w:after="70" w:before="70"/>
      </w:pPr>
      <w:r>
        <w:rPr>
          <w:rFonts w:ascii="Arial" w:cs="Arial" w:eastAsia="Arial" w:hAnsi="Arial"/>
          <w:sz w:val="22"/>
          <w:szCs w:val="22"/>
        </w:rPr>
        <w:t xml:space="preserve">The Enterprise award would expand M4Di's reach across four network dimensions that the current fee-for-service model cannot fund at the required pace.</w:t>
      </w:r>
    </w:p>
    <w:p>
      <w:pPr>
        <w:spacing w:after="70" w:before="70"/>
      </w:pPr>
      <w:r>
        <w:rPr>
          <w:rFonts w:ascii="Arial" w:cs="Arial" w:eastAsia="Arial" w:hAnsi="Arial"/>
          <w:sz w:val="22"/>
          <w:szCs w:val="22"/>
        </w:rPr>
        <w:t xml:space="preserve">CDFI and Housing Finance Agency Network: The ALDDB Historical Cost Database — once hosted in the web application and accessible to CDFI underwriters — becomes a direct service to Delaware DSHA, NCALL Research, Reinvestment Fund, LISC Delaware, and Capital Impact Partners. Award funding enables M4Di to formalize these as portfolio intelligence partnerships, embedding M4Di methodology into institutional lending processes across the Mid-Atlantic. Each CDFI partner introduces M4Di to 5–15 new project sponsors per year.</w:t>
      </w:r>
    </w:p>
    <w:p>
      <w:pPr>
        <w:spacing w:after="70" w:before="70"/>
      </w:pPr>
      <w:r>
        <w:rPr>
          <w:rFonts w:ascii="Arial" w:cs="Arial" w:eastAsia="Arial" w:hAnsi="Arial"/>
          <w:sz w:val="22"/>
          <w:szCs w:val="22"/>
        </w:rPr>
        <w:t xml:space="preserve">Enterprise Peer Learning Network: Participation in Enterprise's national peer learning program connects M4Di to the full ecosystem of affordable housing intermediaries, CDFIs, and practitioners nationwide. This is the most efficient path to identifying Academy affiliate candidates in markets beyond Delaware and replicating M4Di's methodology in regions where no equivalent predevelopment cost intelligence platform exists.</w:t>
      </w:r>
    </w:p>
    <w:p>
      <w:pPr>
        <w:spacing w:after="70" w:before="70"/>
      </w:pPr>
      <w:r>
        <w:rPr>
          <w:rFonts w:ascii="Arial" w:cs="Arial" w:eastAsia="Arial" w:hAnsi="Arial"/>
          <w:sz w:val="22"/>
          <w:szCs w:val="22"/>
        </w:rPr>
        <w:t xml:space="preserve">Academic and Research Partnerships: The CLT/SIP manufacturing market study seed funded by this award creates the basis for a federal research grant co-PI application with the University of Delaware or Delaware State University, opening DOE, NSF, and USDA competitive grant channels unavailable without an institutional research partner.</w:t>
      </w:r>
    </w:p>
    <w:p>
      <w:pPr>
        <w:spacing w:after="70" w:before="70"/>
      </w:pPr>
      <w:r>
        <w:rPr>
          <w:rFonts w:ascii="Arial" w:cs="Arial" w:eastAsia="Arial" w:hAnsi="Arial"/>
          <w:sz w:val="22"/>
          <w:szCs w:val="22"/>
        </w:rPr>
        <w:t xml:space="preserve">Nonprofit Practitioner Network: The M4Di Academy produces certified practitioners who extend M4Di's methodology into organizations and geographies M4Di's four principals cannot serve. Award funding launches the first two cohorts. Enterprise's technical assistance and mentorship resources directly strengthen the Academy curriculum and practitioner support infrastructure.</w:t>
      </w:r>
    </w:p>
    <w:p>
      <w:pPr>
        <w:spacing w:after="100" w:before="60"/>
      </w:pPr>
      <w:r>
        <w:rPr>
          <w:rFonts w:ascii="Arial" w:cs="Arial" w:eastAsia="Arial" w:hAnsi="Arial"/>
          <w:i/>
          <w:iCs/>
          <w:color w:val="CC0000"/>
          <w:sz w:val="18"/>
          <w:szCs w:val="18"/>
        </w:rPr>
        <w:t xml:space="preserve">Character count: 1,810 / 1,500 (121% used)</w:t>
      </w:r>
    </w:p>
    <w:p>
      <w:pPr>
        <w:pBdr>
          <w:bottom w:val="single" w:color="185FA5" w:sz="8" w:space="1"/>
        </w:pBdr>
        <w:spacing w:after="140" w:before="140"/>
      </w:pPr>
      <w:r>
        <w:t xml:space="preserve"/>
      </w:r>
    </w:p>
    <w:p>
      <w:pPr>
        <w:spacing w:after="100" w:before="160"/>
      </w:pPr>
      <w:r>
        <w:rPr>
          <w:rFonts w:ascii="Arial" w:cs="Arial" w:eastAsia="Arial" w:hAnsi="Arial"/>
          <w:b/>
          <w:bCs/>
          <w:color w:val="0C447C"/>
          <w:sz w:val="24"/>
          <w:szCs w:val="24"/>
        </w:rPr>
        <w:t xml:space="preserve">Round 1 Scoring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888888" w:sz="1"/>
              <w:left w:val="single" w:color="888888" w:sz="1"/>
              <w:bottom w:val="single" w:color="888888" w:sz="1"/>
              <w:right w:val="single" w:color="888888"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Scoring Criterion</w:t>
            </w:r>
          </w:p>
        </w:tc>
        <w:tc>
          <w:tcPr>
            <w:tcW w:type="dxa" w:w="1200"/>
            <w:tcBorders>
              <w:top w:val="single" w:color="888888" w:sz="1"/>
              <w:left w:val="single" w:color="888888" w:sz="1"/>
              <w:bottom w:val="single" w:color="888888" w:sz="1"/>
              <w:right w:val="single" w:color="888888"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Points</w:t>
            </w:r>
          </w:p>
        </w:tc>
        <w:tc>
          <w:tcPr>
            <w:tcW w:type="dxa" w:w="4160"/>
            <w:tcBorders>
              <w:top w:val="single" w:color="888888" w:sz="1"/>
              <w:left w:val="single" w:color="888888" w:sz="1"/>
              <w:bottom w:val="single" w:color="888888" w:sz="1"/>
              <w:right w:val="single" w:color="888888" w:sz="1"/>
            </w:tcBorders>
            <w:shd w:fill="185FA5" w:val="clear"/>
            <w:tcMar>
              <w:top w:type="dxa" w:w="80"/>
              <w:left w:type="dxa" w:w="120"/>
              <w:bottom w:type="dxa" w:w="80"/>
              <w:right w:type="dxa" w:w="120"/>
            </w:tcMar>
          </w:tcPr>
          <w:p>
            <w:r>
              <w:rPr>
                <w:rFonts w:ascii="Arial" w:cs="Arial" w:eastAsia="Arial" w:hAnsi="Arial"/>
                <w:b/>
                <w:bCs/>
                <w:color w:val="FFFFFF"/>
                <w:sz w:val="20"/>
                <w:szCs w:val="20"/>
              </w:rPr>
              <w:t xml:space="preserve">M4Di OI Tool Position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Innovative and transformative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architect-led, regionally calibrated predevelopment cost platform purpose-built for nonprofit/CDFI market</w:t>
            </w:r>
          </w:p>
        </w:tc>
      </w:tr>
      <w:tr>
        <w:tc>
          <w:tcPr>
            <w:tcW w:type="dxa" w:w="4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Feasibility — pilot, proof of concept, clear outcomes</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$59M+ active ROM across 4 project types; G0-to-actual variance validated at +5.0%; Claymont CLT/SIP in AHJ permit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Demonstrated cost savings / additional resources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Compresses CDFI underwriting time; eliminates redesign cycles from late zoning discovery; fixed-fee model vs. % of construction</w:t>
            </w:r>
          </w:p>
        </w:tc>
      </w:tr>
      <w:tr>
        <w:tc>
          <w:tcPr>
            <w:tcW w:type="dxa" w:w="4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Time savings / process efficiencies</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P1 delivered in 2–3 weeks vs. 3–6 months for traditional feasibility; Regrid API compresses P1 further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Resident impact, future and/or existing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More projects that close financing = more affordable units built; lower soft cost ratios = more dollars to hard construction</w:t>
            </w:r>
          </w:p>
        </w:tc>
      </w:tr>
      <w:tr>
        <w:tc>
          <w:tcPr>
            <w:tcW w:type="dxa" w:w="4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Innovation scalability</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Web app + Academy + CDFI portfolio partnerships = platform-level reach without proportional founder labor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Readiness — demonstrated impact and proof of concept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OI Tool in use; $59M+ ROM; 4 project types; M-Well full P1–G0 engagement documented</w:t>
            </w:r>
          </w:p>
        </w:tc>
      </w:tr>
      <w:tr>
        <w:tc>
          <w:tcPr>
            <w:tcW w:type="dxa" w:w="4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Clarity on use of resources</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7-section budget, Y1/Y2 breakdown, sources &amp; uses — all in Excel template per application requirements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team readiness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Licensed AOR, 4 principals across architecture/operations/tech/strategy, CB CDC fiscal sponsor, active engagements</w:t>
            </w:r>
          </w:p>
        </w:tc>
      </w:tr>
      <w:tr>
        <w:tc>
          <w:tcPr>
            <w:tcW w:type="dxa" w:w="4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Focus area alignment</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sz w:val="20"/>
                <w:szCs w:val="20"/>
              </w:rPr>
              <w:t xml:space="preserve">Finance — all three sub-bullets addressed: capital access, lending efficiency, expanded capital for underserved</w:t>
            </w:r>
          </w:p>
        </w:tc>
      </w:tr>
      <w:tr>
        <w:tc>
          <w:tcPr>
            <w:tcW w:type="dxa" w:w="4000"/>
            <w:tcBorders>
              <w:top w:val="single" w:color="888888" w:sz="1"/>
              <w:left w:val="single" w:color="888888" w:sz="1"/>
              <w:bottom w:val="single" w:color="888888" w:sz="1"/>
              <w:right w:val="single" w:color="888888" w:sz="1"/>
            </w:tcBorders>
            <w:shd w:fill="BDD7EE" w:val="clear"/>
            <w:tcMar>
              <w:top w:type="dxa" w:w="80"/>
              <w:left w:type="dxa" w:w="120"/>
              <w:bottom w:type="dxa" w:w="80"/>
              <w:right w:type="dxa" w:w="120"/>
            </w:tcMar>
          </w:tcPr>
          <w:p>
            <w:r>
              <w:rPr>
                <w:rFonts w:ascii="Arial" w:cs="Arial" w:eastAsia="Arial" w:hAnsi="Arial"/>
                <w:b/>
                <w:bCs/>
                <w:color w:val="0C447C"/>
                <w:sz w:val="20"/>
                <w:szCs w:val="20"/>
              </w:rPr>
              <w:t xml:space="preserve">Priority Market Bonus — DE, PA, NJ, MD all qualify</w:t>
            </w:r>
          </w:p>
        </w:tc>
        <w:tc>
          <w:tcPr>
            <w:tcW w:type="dxa" w:w="1200"/>
            <w:tcBorders>
              <w:top w:val="single" w:color="888888" w:sz="1"/>
              <w:left w:val="single" w:color="888888" w:sz="1"/>
              <w:bottom w:val="single" w:color="888888" w:sz="1"/>
              <w:right w:val="single" w:color="888888" w:sz="1"/>
            </w:tcBorders>
            <w:shd w:fill="BDD7EE" w:val="clear"/>
            <w:tcMar>
              <w:top w:type="dxa" w:w="80"/>
              <w:left w:type="dxa" w:w="120"/>
              <w:bottom w:type="dxa" w:w="80"/>
              <w:right w:type="dxa" w:w="120"/>
            </w:tcMar>
          </w:tcPr>
          <w:p>
            <w:r>
              <w:rPr>
                <w:rFonts w:ascii="Arial" w:cs="Arial" w:eastAsia="Arial" w:hAnsi="Arial"/>
                <w:b/>
                <w:bCs/>
                <w:color w:val="0C447C"/>
                <w:sz w:val="20"/>
                <w:szCs w:val="20"/>
              </w:rPr>
              <w:t xml:space="preserve">15</w:t>
            </w:r>
          </w:p>
        </w:tc>
        <w:tc>
          <w:tcPr>
            <w:tcW w:type="dxa" w:w="4160"/>
            <w:tcBorders>
              <w:top w:val="single" w:color="888888" w:sz="1"/>
              <w:left w:val="single" w:color="888888" w:sz="1"/>
              <w:bottom w:val="single" w:color="888888" w:sz="1"/>
              <w:right w:val="single" w:color="888888" w:sz="1"/>
            </w:tcBorders>
            <w:shd w:fill="BDD7EE" w:val="clear"/>
            <w:tcMar>
              <w:top w:type="dxa" w:w="80"/>
              <w:left w:type="dxa" w:w="120"/>
              <w:bottom w:type="dxa" w:w="80"/>
              <w:right w:type="dxa" w:w="120"/>
            </w:tcMar>
          </w:tcPr>
          <w:p>
            <w:r>
              <w:rPr>
                <w:rFonts w:ascii="Arial" w:cs="Arial" w:eastAsia="Arial" w:hAnsi="Arial"/>
                <w:b/>
                <w:bCs/>
                <w:color w:val="0C447C"/>
                <w:sz w:val="20"/>
                <w:szCs w:val="20"/>
              </w:rPr>
              <w:t xml:space="preserve">Strong — Wilmington-rooted, Mid-Atlantic regional platform, all four states are priority markets</w:t>
            </w:r>
          </w:p>
        </w:tc>
      </w:tr>
      <w:tr>
        <w:tc>
          <w:tcPr>
            <w:tcW w:type="dxa" w:w="4000"/>
            <w:tcBorders>
              <w:top w:val="single" w:color="888888" w:sz="1"/>
              <w:left w:val="single" w:color="888888" w:sz="1"/>
              <w:bottom w:val="single" w:color="888888" w:sz="1"/>
              <w:right w:val="single" w:color="888888" w:sz="1"/>
            </w:tcBorders>
            <w:shd w:fill="BDD7EE" w:val="clear"/>
            <w:tcMar>
              <w:top w:type="dxa" w:w="80"/>
              <w:left w:type="dxa" w:w="120"/>
              <w:bottom w:type="dxa" w:w="80"/>
              <w:right w:type="dxa" w:w="120"/>
            </w:tcMar>
          </w:tcPr>
          <w:p>
            <w:r>
              <w:rPr>
                <w:rFonts w:ascii="Arial" w:cs="Arial" w:eastAsia="Arial" w:hAnsi="Arial"/>
                <w:b/>
                <w:bCs/>
                <w:color w:val="0C447C"/>
                <w:sz w:val="20"/>
                <w:szCs w:val="20"/>
              </w:rPr>
              <w:t xml:space="preserve">Total available points</w:t>
            </w:r>
          </w:p>
        </w:tc>
        <w:tc>
          <w:tcPr>
            <w:tcW w:type="dxa" w:w="1200"/>
            <w:tcBorders>
              <w:top w:val="single" w:color="888888" w:sz="1"/>
              <w:left w:val="single" w:color="888888" w:sz="1"/>
              <w:bottom w:val="single" w:color="888888" w:sz="1"/>
              <w:right w:val="single" w:color="888888" w:sz="1"/>
            </w:tcBorders>
            <w:shd w:fill="BDD7EE" w:val="clear"/>
            <w:tcMar>
              <w:top w:type="dxa" w:w="80"/>
              <w:left w:type="dxa" w:w="120"/>
              <w:bottom w:type="dxa" w:w="80"/>
              <w:right w:type="dxa" w:w="120"/>
            </w:tcMar>
          </w:tcPr>
          <w:p>
            <w:r>
              <w:rPr>
                <w:rFonts w:ascii="Arial" w:cs="Arial" w:eastAsia="Arial" w:hAnsi="Arial"/>
                <w:b/>
                <w:bCs/>
                <w:color w:val="0C447C"/>
                <w:sz w:val="20"/>
                <w:szCs w:val="20"/>
              </w:rPr>
              <w:t xml:space="preserve">70</w:t>
            </w:r>
          </w:p>
        </w:tc>
        <w:tc>
          <w:tcPr>
            <w:tcW w:type="dxa" w:w="4160"/>
            <w:tcBorders>
              <w:top w:val="single" w:color="888888" w:sz="1"/>
              <w:left w:val="single" w:color="888888" w:sz="1"/>
              <w:bottom w:val="single" w:color="888888" w:sz="1"/>
              <w:right w:val="single" w:color="888888" w:sz="1"/>
            </w:tcBorders>
            <w:shd w:fill="BDD7EE" w:val="clear"/>
            <w:tcMar>
              <w:top w:type="dxa" w:w="80"/>
              <w:left w:type="dxa" w:w="120"/>
              <w:bottom w:type="dxa" w:w="80"/>
              <w:right w:type="dxa" w:w="120"/>
            </w:tcMar>
          </w:tcPr>
          <w:p>
            <w:r>
              <w:rPr>
                <w:rFonts w:ascii="Arial" w:cs="Arial" w:eastAsia="Arial" w:hAnsi="Arial"/>
                <w:b/>
                <w:bCs/>
                <w:color w:val="0C447C"/>
                <w:sz w:val="20"/>
                <w:szCs w:val="20"/>
              </w:rPr>
              <w:t xml:space="preserve">M4Di competitive across all categories</w:t>
            </w:r>
          </w:p>
        </w:tc>
      </w:tr>
    </w:tbl>
    <w:p>
      <w:pPr>
        <w:pBdr>
          <w:bottom w:val="single" w:color="185FA5" w:sz="8" w:space="1"/>
        </w:pBdr>
        <w:spacing w:after="140" w:before="140"/>
      </w:pPr>
      <w:r>
        <w:t xml:space="preserve"/>
      </w:r>
    </w:p>
    <w:p>
      <w:pPr>
        <w:spacing w:after="80" w:before="80"/>
      </w:pPr>
      <w:r>
        <w:rPr>
          <w:rFonts w:ascii="Arial" w:cs="Arial" w:eastAsia="Arial" w:hAnsi="Arial"/>
          <w:i/>
          <w:iCs/>
          <w:color w:val="AA6600"/>
          <w:sz w:val="19"/>
          <w:szCs w:val="19"/>
        </w:rPr>
        <w:t xml:space="preserve">Items requiring confirmation before submission: (1) CB CDC legal name, address, website, employee counts — Rev. Keeling checklist sent. (2) Housing type category — confirm Rental ≤80% AMI as primary. (3) CB CDC letter of support — in progress per Rev. Keeling. (4) Fiscal sponsorship agreement — attorney review in progress.</w:t>
      </w:r>
    </w:p>
    <w:p>
      <w:pPr>
        <w:pBdr>
          <w:bottom w:val="single" w:color="185FA5" w:sz="8" w:space="1"/>
        </w:pBdr>
        <w:spacing w:after="140" w:before="140"/>
      </w:pPr>
      <w:r>
        <w:t xml:space="preserve"/>
      </w:r>
    </w:p>
    <w:p>
      <w:pPr>
        <w:spacing w:before="100"/>
        <w:jc w:val="center"/>
      </w:pPr>
      <w:r>
        <w:rPr>
          <w:rFonts w:ascii="Arial" w:cs="Arial" w:eastAsia="Arial" w:hAnsi="Arial"/>
          <w:color w:val="555555"/>
          <w:sz w:val="18"/>
          <w:szCs w:val="18"/>
        </w:rPr>
        <w:t xml:space="preserve">M4Di · Merge 4 Development Institute · CB CDC Fiscal Sponsor · Draft Application · May 2026 · Not for distribution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2026-05-06T00:06:31.051Z</dcterms:created>
  <dcterms:modified xsi:type="dcterms:W3CDTF">2026-05-06T00:06:31.051Z</dcterms:modified>
</cp:coreProperties>
</file>

<file path=docProps/custom.xml><?xml version="1.0" encoding="utf-8"?>
<Properties xmlns="http://schemas.openxmlformats.org/officeDocument/2006/custom-properties" xmlns:vt="http://schemas.openxmlformats.org/officeDocument/2006/docPropsVTypes"/>
</file>