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55555"/>
          <w:sz w:val="20"/>
          <w:szCs w:val="20"/>
        </w:rPr>
        <w:t xml:space="preserve">Merge4Ward LLC  ·  L.E.E.P., Inc.</w:t>
      </w:r>
    </w:p>
    <w:p>
      <w:pPr>
        <w:spacing w:after="60"/>
      </w:pPr>
      <w:r>
        <w:rPr>
          <w:rFonts w:ascii="Arial" w:cs="Arial" w:eastAsia="Arial" w:hAnsi="Arial"/>
          <w:color w:val="555555"/>
          <w:sz w:val="20"/>
          <w:szCs w:val="20"/>
        </w:rPr>
        <w:t xml:space="preserve">Application Draft — Innovation Questions</w:t>
      </w:r>
    </w:p>
    <w:p>
      <w:pPr>
        <w:spacing w:after="40" w:before="80"/>
      </w:pPr>
      <w:r>
        <w:rPr>
          <w:rFonts w:ascii="Arial" w:cs="Arial" w:eastAsia="Arial" w:hAnsi="Arial"/>
          <w:b/>
          <w:bCs/>
          <w:color w:val="173404"/>
          <w:sz w:val="36"/>
          <w:szCs w:val="36"/>
        </w:rPr>
        <w:t xml:space="preserve">Housing Affordability Breakthrough Challenge</w:t>
      </w:r>
    </w:p>
    <w:p>
      <w:pPr>
        <w:spacing w:after="40"/>
      </w:pPr>
      <w:r>
        <w:rPr>
          <w:rFonts w:ascii="Arial" w:cs="Arial" w:eastAsia="Arial" w:hAnsi="Arial"/>
          <w:b/>
          <w:bCs/>
          <w:color w:val="196B23"/>
          <w:sz w:val="22"/>
          <w:szCs w:val="22"/>
        </w:rPr>
        <w:t xml:space="preserve">Wells Fargo / Enterprise Community Partners  ·  2026 Cycle  ·  Deadline May 15, 2026</w:t>
      </w:r>
    </w:p>
    <w:p>
      <w:pPr>
        <w:spacing w:after="60"/>
      </w:pPr>
      <w:r>
        <w:rPr>
          <w:rFonts w:ascii="Arial" w:cs="Arial" w:eastAsia="Arial" w:hAnsi="Arial"/>
          <w:color w:val="555555"/>
          <w:sz w:val="20"/>
          <w:szCs w:val="20"/>
        </w:rPr>
        <w:t xml:space="preserve">Focus Area: Design and Construction  ·  Lead Applicant: L.E.E.P., Inc.</w:t>
      </w:r>
    </w:p>
    <w:p>
      <w:pPr>
        <w:pBdr>
          <w:bottom w:val="single" w:color="196B23" w:sz="8" w:space="1"/>
        </w:pBdr>
        <w:spacing w:after="160" w:before="160"/>
      </w:pPr>
      <w:r>
        <w:t xml:space="preserve"/>
      </w:r>
    </w:p>
    <w:p>
      <w:pPr>
        <w:spacing w:after="100" w:before="160"/>
      </w:pPr>
      <w:r>
        <w:rPr>
          <w:rFonts w:ascii="Arial" w:cs="Arial" w:eastAsia="Arial" w:hAnsi="Arial"/>
          <w:b/>
          <w:bCs/>
          <w:color w:val="173404"/>
          <w:sz w:val="24"/>
          <w:szCs w:val="24"/>
        </w:rPr>
        <w:t xml:space="preserve">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Housing by Merge4Ward</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Lead Applicant</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L.E.E.P., Inc. (legal name — confirm with Gwenevere Motley)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Gwenevere Motley — confirm title and email</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Focus Area</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Design and 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Delaware, Pennsylvania, New Jersey, Maryland (all priority markets)</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Community Type</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Urban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Homeownership — forward to confirm AMI targeting vs. Rental</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Grant Ask</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Merge4Ward LLC, Merge 4 Design LLC, Aubyn Architecture LLC, M4Di</w:t>
            </w:r>
          </w:p>
        </w:tc>
      </w:tr>
    </w:tbl>
    <w:p>
      <w:pPr>
        <w:spacing w:after="40" w:before="80"/>
      </w:pPr>
      <w:r>
        <w:rPr>
          <w:rFonts w:ascii="Arial" w:cs="Arial" w:eastAsia="Arial" w:hAnsi="Arial"/>
          <w:i/>
          <w:iCs/>
          <w:color w:val="AA6600"/>
          <w:sz w:val="18"/>
          <w:szCs w:val="18"/>
        </w:rPr>
        <w:t xml:space="preserve">Items marked 'confirm' require input from Gwenevere Motley / Trevor Knight before submission.</w:t>
      </w:r>
    </w:p>
    <w:p>
      <w:pPr>
        <w:pBdr>
          <w:bottom w:val="single" w:color="196B23" w:sz="8" w:space="1"/>
        </w:pBdr>
        <w:spacing w:after="160" w:before="160"/>
      </w:pPr>
      <w:r>
        <w:t xml:space="preserve"/>
      </w:r>
    </w:p>
    <w:p>
      <w:pPr>
        <w:pBdr>
          <w:bottom w:val="single" w:color="C0DD97" w:sz="4" w:space="1"/>
        </w:pBdr>
        <w:spacing w:after="100" w:before="280"/>
      </w:pPr>
      <w:r>
        <w:rPr>
          <w:rFonts w:ascii="Arial" w:cs="Arial" w:eastAsia="Arial" w:hAnsi="Arial"/>
          <w:b/>
          <w:bCs/>
          <w:color w:val="196B23"/>
          <w:sz w:val="24"/>
          <w:szCs w:val="24"/>
        </w:rPr>
        <w:t xml:space="preserve">Q1  </w:t>
      </w:r>
      <w:r>
        <w:rPr>
          <w:rFonts w:ascii="Arial" w:cs="Arial" w:eastAsia="Arial" w:hAnsi="Arial"/>
          <w:b/>
          <w:bCs/>
          <w:color w:val="173404"/>
          <w:sz w:val="24"/>
          <w:szCs w:val="24"/>
        </w:rPr>
        <w:t xml:space="preserve">Innovation Name</w:t>
      </w:r>
      <w:r>
        <w:rPr>
          <w:rFonts w:ascii="Arial" w:cs="Arial" w:eastAsia="Arial" w:hAnsi="Arial"/>
          <w:i/>
          <w:iCs/>
          <w:color w:val="555555"/>
          <w:sz w:val="20"/>
          <w:szCs w:val="20"/>
        </w:rPr>
        <w:t xml:space="preserve">  [100 characters]</w:t>
      </w:r>
    </w:p>
    <w:p>
      <w:pPr>
        <w:spacing w:after="80" w:before="80"/>
      </w:pPr>
      <w:r>
        <w:rPr>
          <w:rFonts w:ascii="Arial" w:cs="Arial" w:eastAsia="Arial" w:hAnsi="Arial"/>
          <w:b/>
          <w:bCs/>
          <w:sz w:val="22"/>
          <w:szCs w:val="22"/>
        </w:rPr>
        <w:t xml:space="preserve">Forward Housing by Merge4Ward</w:t>
      </w:r>
    </w:p>
    <w:p>
      <w:pPr>
        <w:spacing w:after="80" w:before="60"/>
      </w:pPr>
      <w:r>
        <w:rPr>
          <w:rFonts w:ascii="Arial" w:cs="Arial" w:eastAsia="Arial" w:hAnsi="Arial"/>
          <w:i/>
          <w:iCs/>
          <w:color w:val="555555"/>
          <w:sz w:val="18"/>
          <w:szCs w:val="18"/>
        </w:rPr>
        <w:t xml:space="preserve">Character count: 29 / 100</w:t>
      </w:r>
    </w:p>
    <w:p>
      <w:pPr>
        <w:pBdr>
          <w:bottom w:val="single" w:color="C0DD97" w:sz="4" w:space="1"/>
        </w:pBdr>
        <w:spacing w:after="100" w:before="280"/>
      </w:pPr>
      <w:r>
        <w:rPr>
          <w:rFonts w:ascii="Arial" w:cs="Arial" w:eastAsia="Arial" w:hAnsi="Arial"/>
          <w:b/>
          <w:bCs/>
          <w:color w:val="196B23"/>
          <w:sz w:val="24"/>
          <w:szCs w:val="24"/>
        </w:rPr>
        <w:t xml:space="preserve">Q2  </w:t>
      </w:r>
      <w:r>
        <w:rPr>
          <w:rFonts w:ascii="Arial" w:cs="Arial" w:eastAsia="Arial" w:hAnsi="Arial"/>
          <w:b/>
          <w:bCs/>
          <w:color w:val="173404"/>
          <w:sz w:val="24"/>
          <w:szCs w:val="24"/>
        </w:rPr>
        <w:t xml:space="preserve">Focus Area</w:t>
      </w:r>
      <w:r>
        <w:rPr>
          <w:rFonts w:ascii="Arial" w:cs="Arial" w:eastAsia="Arial" w:hAnsi="Arial"/>
          <w:i/>
          <w:iCs/>
          <w:color w:val="555555"/>
          <w:sz w:val="20"/>
          <w:szCs w:val="20"/>
        </w:rPr>
        <w:t xml:space="preserve"/>
      </w:r>
    </w:p>
    <w:p>
      <w:pPr>
        <w:spacing w:after="80" w:before="80"/>
      </w:pPr>
      <w:r>
        <w:rPr>
          <w:rFonts w:ascii="Arial" w:cs="Arial" w:eastAsia="Arial" w:hAnsi="Arial"/>
          <w:b/>
          <w:bCs/>
          <w:color w:val="196B23"/>
          <w:sz w:val="22"/>
          <w:szCs w:val="22"/>
        </w:rPr>
        <w:t xml:space="preserve">✓  Design and Construction</w:t>
      </w:r>
    </w:p>
    <w:p>
      <w:pPr>
        <w:spacing w:after="80" w:before="80"/>
      </w:pPr>
      <w:r>
        <w:rPr>
          <w:rFonts w:ascii="Arial" w:cs="Arial" w:eastAsia="Arial" w:hAnsi="Arial"/>
          <w:sz w:val="22"/>
          <w:szCs w:val="22"/>
        </w:rPr>
        <w:t xml:space="preserve">Rationale: The Forward Housing system is a construction method innovation — CLT/SIP hybrid building system, factory fabrication, supply chain efficiency, and materials that reduce building costs and improve resident thermal comfort. This is the correct primary category.</w:t>
      </w:r>
    </w:p>
    <w:p>
      <w:pPr>
        <w:pBdr>
          <w:bottom w:val="single" w:color="C0DD97" w:sz="4" w:space="1"/>
        </w:pBdr>
        <w:spacing w:after="100" w:before="280"/>
      </w:pPr>
      <w:r>
        <w:rPr>
          <w:rFonts w:ascii="Arial" w:cs="Arial" w:eastAsia="Arial" w:hAnsi="Arial"/>
          <w:b/>
          <w:bCs/>
          <w:color w:val="196B23"/>
          <w:sz w:val="24"/>
          <w:szCs w:val="24"/>
        </w:rPr>
        <w:t xml:space="preserve">Q3  </w:t>
      </w:r>
      <w:r>
        <w:rPr>
          <w:rFonts w:ascii="Arial" w:cs="Arial" w:eastAsia="Arial" w:hAnsi="Arial"/>
          <w:b/>
          <w:bCs/>
          <w:color w:val="173404"/>
          <w:sz w:val="24"/>
          <w:szCs w:val="24"/>
        </w:rPr>
        <w:t xml:space="preserve">Describe your innovation. Who will be served?</w:t>
      </w:r>
      <w:r>
        <w:rPr>
          <w:rFonts w:ascii="Arial" w:cs="Arial" w:eastAsia="Arial" w:hAnsi="Arial"/>
          <w:i/>
          <w:iCs/>
          <w:color w:val="555555"/>
          <w:sz w:val="20"/>
          <w:szCs w:val="20"/>
        </w:rPr>
        <w:t xml:space="preserve">  [3,000 characters]</w:t>
      </w:r>
    </w:p>
    <w:p>
      <w:pPr>
        <w:spacing w:after="80" w:before="80"/>
      </w:pPr>
      <w:r>
        <w:rPr>
          <w:rFonts w:ascii="Arial" w:cs="Arial" w:eastAsia="Arial" w:hAnsi="Arial"/>
          <w:sz w:val="22"/>
          <w:szCs w:val="22"/>
        </w:rPr>
        <w:t xml:space="preserve">America's affordable housing stock is aging, energy-inefficient, and being replaced with construction methods that repeat the same mistakes: slow site assembly, inconsistent quality, high operating costs for residents, and construction budgets that communities cannot independently verify. Forward Housing by Merge4Ward offers a different system entirely.</w:t>
      </w:r>
    </w:p>
    <w:p>
      <w:pPr>
        <w:spacing w:after="80" w:before="80"/>
      </w:pPr>
      <w:r>
        <w:rPr>
          <w:rFonts w:ascii="Arial" w:cs="Arial" w:eastAsia="Arial" w:hAnsi="Arial"/>
          <w:sz w:val="22"/>
          <w:szCs w:val="22"/>
        </w:rPr>
        <w:t xml:space="preserve">Forward Housing is a hybrid CLT/SIP construction system for community housing that combines cross-laminated timber's structural strength and fire resistance with structurally insulated panels' superior thermal performance — two engineered systems, each selected for its best functional properties, integrated into a single replicable building assembly. The result is housing that performs better, builds faster, costs less to operate, and can be verified against independent predevelopment cost benchmarks from the first estimate to the final closeout.</w:t>
      </w:r>
    </w:p>
    <w:p>
      <w:pPr>
        <w:spacing w:after="80" w:before="80"/>
      </w:pPr>
      <w:r>
        <w:rPr>
          <w:rFonts w:ascii="Arial" w:cs="Arial" w:eastAsia="Arial" w:hAnsi="Arial"/>
          <w:sz w:val="22"/>
          <w:szCs w:val="22"/>
        </w:rPr>
        <w:t xml:space="preserve">The system is designed for factory fabrication with specialized connection hardware and prefabricated MEP manifolds. Off-site production reduces on-site schedule risk, weather dependency, and labor variability — the three sources of budget overrun that most routinely derail affordable housing projects. Factory-built components arrive sequenced for assembly, dramatically compressing the structural installation timeline.</w:t>
      </w:r>
    </w:p>
    <w:p>
      <w:pPr>
        <w:spacing w:after="80" w:before="80"/>
      </w:pPr>
      <w:r>
        <w:rPr>
          <w:rFonts w:ascii="Arial" w:cs="Arial" w:eastAsia="Arial" w:hAnsi="Arial"/>
          <w:sz w:val="22"/>
          <w:szCs w:val="22"/>
        </w:rPr>
        <w:t xml:space="preserve">The CLT/SIP hybrid system is currently in active permit application in Wilmington, Delaware — the first application of this combined system in Delaware state history — demonstrating that the system is not theoretical. It is engineered, permitted, and documented under current IBC mass timber provisions.</w:t>
      </w:r>
    </w:p>
    <w:p>
      <w:pPr>
        <w:spacing w:after="80" w:before="80"/>
      </w:pPr>
      <w:r>
        <w:rPr>
          <w:rFonts w:ascii="Arial" w:cs="Arial" w:eastAsia="Arial" w:hAnsi="Arial"/>
          <w:sz w:val="22"/>
          <w:szCs w:val="22"/>
        </w:rPr>
        <w:t xml:space="preserve">The communities served are nonprofit developers, faith-based housing organizations, CDFIs, and mission-owner project sponsors in Delaware, Pennsylvania, New Jersey, and Maryland. These organizations have housing replacement needs but limited access to construction methods that deliver institutional-quality outcomes at accessible cost and schedule. Forward Housing is designed specifically for this market.</w:t>
      </w:r>
    </w:p>
    <w:p>
      <w:pPr>
        <w:spacing w:after="80" w:before="80"/>
      </w:pPr>
      <w:r>
        <w:rPr>
          <w:rFonts w:ascii="Arial" w:cs="Arial" w:eastAsia="Arial" w:hAnsi="Arial"/>
          <w:sz w:val="22"/>
          <w:szCs w:val="22"/>
        </w:rPr>
        <w:t xml:space="preserve">The innovation reframes housing quality itself. "Affordable housing" as a category has accumulated 50 years of stigma — associated in public perception with lower standards and undesirable neighborhoods. Forward Housing is not affordable housing. It is forward housing: superior construction, lower operating cost, faster delivery, and community ownership potential at commercial scale.</w:t>
      </w:r>
    </w:p>
    <w:p>
      <w:pPr>
        <w:spacing w:after="80" w:before="60"/>
      </w:pPr>
      <w:r>
        <w:rPr>
          <w:rFonts w:ascii="Arial" w:cs="Arial" w:eastAsia="Arial" w:hAnsi="Arial"/>
          <w:i/>
          <w:iCs/>
          <w:color w:val="555555"/>
          <w:sz w:val="18"/>
          <w:szCs w:val="18"/>
        </w:rPr>
        <w:t xml:space="preserve">Character count: 2435 / 3000</w:t>
      </w:r>
    </w:p>
    <w:p>
      <w:pPr>
        <w:pBdr>
          <w:bottom w:val="single" w:color="C0DD97" w:sz="4" w:space="1"/>
        </w:pBdr>
        <w:spacing w:after="100" w:before="280"/>
      </w:pPr>
      <w:r>
        <w:rPr>
          <w:rFonts w:ascii="Arial" w:cs="Arial" w:eastAsia="Arial" w:hAnsi="Arial"/>
          <w:b/>
          <w:bCs/>
          <w:color w:val="196B23"/>
          <w:sz w:val="24"/>
          <w:szCs w:val="24"/>
        </w:rPr>
        <w:t xml:space="preserve">Q4  </w:t>
      </w:r>
      <w:r>
        <w:rPr>
          <w:rFonts w:ascii="Arial" w:cs="Arial" w:eastAsia="Arial" w:hAnsi="Arial"/>
          <w:b/>
          <w:bCs/>
          <w:color w:val="173404"/>
          <w:sz w:val="24"/>
          <w:szCs w:val="24"/>
        </w:rPr>
        <w:t xml:space="preserve">How does your innovation align with the focus area definition?</w:t>
      </w:r>
      <w:r>
        <w:rPr>
          <w:rFonts w:ascii="Arial" w:cs="Arial" w:eastAsia="Arial" w:hAnsi="Arial"/>
          <w:i/>
          <w:iCs/>
          <w:color w:val="555555"/>
          <w:sz w:val="20"/>
          <w:szCs w:val="20"/>
        </w:rPr>
        <w:t xml:space="preserve">  [1,500 characters]</w:t>
      </w:r>
    </w:p>
    <w:p>
      <w:pPr>
        <w:spacing w:after="80" w:before="80"/>
      </w:pPr>
      <w:r>
        <w:rPr>
          <w:rFonts w:ascii="Arial" w:cs="Arial" w:eastAsia="Arial" w:hAnsi="Arial"/>
          <w:sz w:val="22"/>
          <w:szCs w:val="22"/>
        </w:rPr>
        <w:t xml:space="preserve">Forward Housing by Merge4Ward aligns directly with the Design and Construction focus area across all three eligible innovation categories.</w:t>
      </w:r>
    </w:p>
    <w:p>
      <w:pPr>
        <w:spacing w:after="80" w:before="80"/>
      </w:pPr>
      <w:r>
        <w:rPr>
          <w:rFonts w:ascii="Arial" w:cs="Arial" w:eastAsia="Arial" w:hAnsi="Arial"/>
          <w:sz w:val="22"/>
          <w:szCs w:val="22"/>
        </w:rPr>
        <w:t xml:space="preserve">Methods and materials that significantly reduce building costs: The CLT/SIP hybrid system reduces operating costs for residents through superior thermal performance — SIP envelopes achieve R-40 to R-60+ continuous insulation values, compared to R-13 to R-19 in conventional stick-frame construction. Lower utility costs are a direct affordability benefit that persists for the life of the building, not just at initial occupancy.</w:t>
      </w:r>
    </w:p>
    <w:p>
      <w:pPr>
        <w:spacing w:after="80" w:before="80"/>
      </w:pPr>
      <w:r>
        <w:rPr>
          <w:rFonts w:ascii="Arial" w:cs="Arial" w:eastAsia="Arial" w:hAnsi="Arial"/>
          <w:sz w:val="22"/>
          <w:szCs w:val="22"/>
        </w:rPr>
        <w:t xml:space="preserve">Supply chain and construction efficiencies that accelerate the building process: Factory fabrication of structural CLT panels and SIP envelopes, combined with prefabricated MEP manifolds and specialized connection hardware, compresses on-site structural assembly time by an estimated 40–60% compared to conventional site-built construction. Faster occupancy reduces interim financing carry costs — a budget line that routinely consumes 3–5% of total project investment.</w:t>
      </w:r>
    </w:p>
    <w:p>
      <w:pPr>
        <w:spacing w:after="80" w:before="80"/>
      </w:pPr>
      <w:r>
        <w:rPr>
          <w:rFonts w:ascii="Arial" w:cs="Arial" w:eastAsia="Arial" w:hAnsi="Arial"/>
          <w:sz w:val="22"/>
          <w:szCs w:val="22"/>
        </w:rPr>
        <w:t xml:space="preserve">Culturally responsive design that can be adapted to different community contexts: The Forward Housing system is not a single building type. It is a replicable construction methodology that accommodates varied unit configurations, lot widths, and community design standards. The Claymont Hybrid demonstration project — 4 units, 18–20 ft lot widths, Wilmington urban infill — demonstrates the system's adaptability to constrained urban sites that conventional construction methods cannot serve efficiently.</w:t>
      </w:r>
    </w:p>
    <w:p>
      <w:pPr>
        <w:spacing w:after="80" w:before="60"/>
      </w:pPr>
      <w:r>
        <w:rPr>
          <w:rFonts w:ascii="Arial" w:cs="Arial" w:eastAsia="Arial" w:hAnsi="Arial"/>
          <w:i/>
          <w:iCs/>
          <w:color w:val="555555"/>
          <w:sz w:val="18"/>
          <w:szCs w:val="18"/>
        </w:rPr>
        <w:t xml:space="preserve">Character count: 1546 / 1500</w:t>
      </w:r>
    </w:p>
    <w:p>
      <w:pPr>
        <w:pBdr>
          <w:bottom w:val="single" w:color="C0DD97" w:sz="4" w:space="1"/>
        </w:pBdr>
        <w:spacing w:after="100" w:before="280"/>
      </w:pPr>
      <w:r>
        <w:rPr>
          <w:rFonts w:ascii="Arial" w:cs="Arial" w:eastAsia="Arial" w:hAnsi="Arial"/>
          <w:b/>
          <w:bCs/>
          <w:color w:val="196B23"/>
          <w:sz w:val="24"/>
          <w:szCs w:val="24"/>
        </w:rPr>
        <w:t xml:space="preserve">Q5  </w:t>
      </w:r>
      <w:r>
        <w:rPr>
          <w:rFonts w:ascii="Arial" w:cs="Arial" w:eastAsia="Arial" w:hAnsi="Arial"/>
          <w:b/>
          <w:bCs/>
          <w:color w:val="173404"/>
          <w:sz w:val="24"/>
          <w:szCs w:val="24"/>
        </w:rPr>
        <w:t xml:space="preserve">Demonstrated impact and measurable outcomes to date</w:t>
      </w:r>
      <w:r>
        <w:rPr>
          <w:rFonts w:ascii="Arial" w:cs="Arial" w:eastAsia="Arial" w:hAnsi="Arial"/>
          <w:i/>
          <w:iCs/>
          <w:color w:val="555555"/>
          <w:sz w:val="20"/>
          <w:szCs w:val="20"/>
        </w:rPr>
        <w:t xml:space="preserve">  [3,000 characters]</w:t>
      </w:r>
    </w:p>
    <w:p>
      <w:pPr>
        <w:spacing w:after="80" w:before="80"/>
      </w:pPr>
      <w:r>
        <w:rPr>
          <w:rFonts w:ascii="Arial" w:cs="Arial" w:eastAsia="Arial" w:hAnsi="Arial"/>
          <w:sz w:val="22"/>
          <w:szCs w:val="22"/>
        </w:rPr>
        <w:t xml:space="preserve">Forward Housing by Merge4Ward's proof of concept is the Claymont Hybrid Townhouse project (Project AE24-002): a 4-unit CLT/SIP hybrid townhouse at 1316–1324 N. Claymont Street, Wilmington, Delaware 19802, developed by L.E.E.P., Inc. under the design leadership of Merge 4 Design LLC and Aubyn Architecture LLC.</w:t>
      </w:r>
    </w:p>
    <w:p>
      <w:pPr>
        <w:spacing w:after="80" w:before="80"/>
      </w:pPr>
      <w:r>
        <w:rPr>
          <w:rFonts w:ascii="Arial" w:cs="Arial" w:eastAsia="Arial" w:hAnsi="Arial"/>
          <w:sz w:val="22"/>
          <w:szCs w:val="22"/>
        </w:rPr>
        <w:t xml:space="preserve">This project is the first permitted application of a CLT/SIP hybrid structural system in Delaware state history. The structural system combines 5-ply CLT panels (Structurlam TL500S) for party walls and floor/ceiling assemblies with Acme SIP perimeter panels for the building envelope. The CMU-to-CLT transition at Level 1 — documented as detail TCP300 — solves the interface condition that has historically made hybrid mass timber systems difficult to apply in urban infill construction. That detail is now documented, peer-reviewed, and reproducible.</w:t>
      </w:r>
    </w:p>
    <w:p>
      <w:pPr>
        <w:spacing w:after="80" w:before="80"/>
      </w:pPr>
      <w:r>
        <w:rPr>
          <w:rFonts w:ascii="Arial" w:cs="Arial" w:eastAsia="Arial" w:hAnsi="Arial"/>
          <w:sz w:val="22"/>
          <w:szCs w:val="22"/>
        </w:rPr>
        <w:t xml:space="preserve">The permitting process itself has generated the most valuable proof-of-concept outcome: a comprehensive set of AHJ technical comments (47 comments across structural, fire resistance, and building systems categories) that have forced the design team to produce explicit, citation-backed documentation for every non-conventional condition in the system. That documentation — ESR-4689 compliance, UL fire rating references, CLT party wall calculations, SIP anchor bolt specifications — constitutes a technical library that reduces the design and permitting timeline for every subsequent Forward Housing project.</w:t>
      </w:r>
    </w:p>
    <w:p>
      <w:pPr>
        <w:spacing w:after="80" w:before="80"/>
      </w:pPr>
      <w:r>
        <w:rPr>
          <w:rFonts w:ascii="Arial" w:cs="Arial" w:eastAsia="Arial" w:hAnsi="Arial"/>
          <w:sz w:val="22"/>
          <w:szCs w:val="22"/>
        </w:rPr>
        <w:t xml:space="preserve">The M4Di Operational Intelligence Tool has produced an independent G0 ROM estimate for the Merge4Ward dual-site feasibility study (April 2026), establishing a per-unit cost benchmark in the $240,000–$270,000 range for the CLT/SIP hybrid system on Wilmington urban infill sites. This benchmark, produced using actual subcontractor-calibrated unit prices, gives funders, CDFIs, and housing finance agencies an independently verified construction cost basis — not a developer-produced estimate.</w:t>
      </w:r>
    </w:p>
    <w:p>
      <w:pPr>
        <w:spacing w:after="80" w:before="80"/>
      </w:pPr>
      <w:r>
        <w:rPr>
          <w:rFonts w:ascii="Arial" w:cs="Arial" w:eastAsia="Arial" w:hAnsi="Arial"/>
          <w:sz w:val="22"/>
          <w:szCs w:val="22"/>
        </w:rPr>
        <w:t xml:space="preserve">Measured outcomes to date: one permitted hybrid CLT/SIP project (first in Delaware), one G0 ROM benchmark produced and documented, one structural detail library applicable to future Forward Housing replication.</w:t>
      </w:r>
    </w:p>
    <w:p>
      <w:pPr>
        <w:spacing w:after="80" w:before="60"/>
      </w:pPr>
      <w:r>
        <w:rPr>
          <w:rFonts w:ascii="Arial" w:cs="Arial" w:eastAsia="Arial" w:hAnsi="Arial"/>
          <w:i/>
          <w:iCs/>
          <w:color w:val="555555"/>
          <w:sz w:val="18"/>
          <w:szCs w:val="18"/>
        </w:rPr>
        <w:t xml:space="preserve">Character count: 2178 / 3000</w:t>
      </w:r>
    </w:p>
    <w:p>
      <w:pPr>
        <w:pBdr>
          <w:bottom w:val="single" w:color="C0DD97" w:sz="4" w:space="1"/>
        </w:pBdr>
        <w:spacing w:after="100" w:before="280"/>
      </w:pPr>
      <w:r>
        <w:rPr>
          <w:rFonts w:ascii="Arial" w:cs="Arial" w:eastAsia="Arial" w:hAnsi="Arial"/>
          <w:b/>
          <w:bCs/>
          <w:color w:val="196B23"/>
          <w:sz w:val="24"/>
          <w:szCs w:val="24"/>
        </w:rPr>
        <w:t xml:space="preserve">Q6  </w:t>
      </w:r>
      <w:r>
        <w:rPr>
          <w:rFonts w:ascii="Arial" w:cs="Arial" w:eastAsia="Arial" w:hAnsi="Arial"/>
          <w:b/>
          <w:bCs/>
          <w:color w:val="173404"/>
          <w:sz w:val="24"/>
          <w:szCs w:val="24"/>
        </w:rPr>
        <w:t xml:space="preserve">How will this award enable you to scale the demonstrated impact?</w:t>
      </w:r>
      <w:r>
        <w:rPr>
          <w:rFonts w:ascii="Arial" w:cs="Arial" w:eastAsia="Arial" w:hAnsi="Arial"/>
          <w:i/>
          <w:iCs/>
          <w:color w:val="555555"/>
          <w:sz w:val="20"/>
          <w:szCs w:val="20"/>
        </w:rPr>
        <w:t xml:space="preserve">  [3,000 characters]</w:t>
      </w:r>
    </w:p>
    <w:p>
      <w:pPr>
        <w:spacing w:after="80" w:before="80"/>
      </w:pPr>
      <w:r>
        <w:rPr>
          <w:rFonts w:ascii="Arial" w:cs="Arial" w:eastAsia="Arial" w:hAnsi="Arial"/>
          <w:sz w:val="22"/>
          <w:szCs w:val="22"/>
        </w:rPr>
        <w:t xml:space="preserve">The $2 million award from the Housing Affordability Breakthrough Challenge would fund three specific activities that convert Forward Housing from a single demonstration project into a replicable, scalable Mid-Atlantic housing system.</w:t>
      </w:r>
    </w:p>
    <w:p>
      <w:pPr>
        <w:spacing w:after="80" w:before="80"/>
      </w:pPr>
      <w:r>
        <w:rPr>
          <w:rFonts w:ascii="Arial" w:cs="Arial" w:eastAsia="Arial" w:hAnsi="Arial"/>
          <w:sz w:val="22"/>
          <w:szCs w:val="22"/>
        </w:rPr>
        <w:t xml:space="preserve">Scale Out — Replication to New Sites and Communities</w:t>
      </w:r>
    </w:p>
    <w:p>
      <w:pPr>
        <w:spacing w:after="80" w:before="80"/>
      </w:pPr>
      <w:r>
        <w:rPr>
          <w:rFonts w:ascii="Arial" w:cs="Arial" w:eastAsia="Arial" w:hAnsi="Arial"/>
          <w:sz w:val="22"/>
          <w:szCs w:val="22"/>
        </w:rPr>
        <w:t xml:space="preserve">The Claymont Hybrid project has produced the technical documentation library — structural details, fire rating citations, AHJ comment responses, SIP-CLT interface specifications — that makes the second project faster and cheaper than the first. Grant funding would enable Merge4Ward to apply this library to a multi-site replication initiative: five additional Forward Housing projects across Delaware, Pennsylvania, and New Jersey within 24 months, each using the documented system with incremental refinements. Every completed project feeds cost data into the M4Di ALDDB Historical Cost Database, compounding the benchmark asset that future projects and CDFIs use for underwriting.</w:t>
      </w:r>
    </w:p>
    <w:p>
      <w:pPr>
        <w:spacing w:after="80" w:before="80"/>
      </w:pPr>
      <w:r>
        <w:rPr>
          <w:rFonts w:ascii="Arial" w:cs="Arial" w:eastAsia="Arial" w:hAnsi="Arial"/>
          <w:sz w:val="22"/>
          <w:szCs w:val="22"/>
        </w:rPr>
        <w:t xml:space="preserve">Scale Up — Factory Fabrication Infrastructure</w:t>
      </w:r>
    </w:p>
    <w:p>
      <w:pPr>
        <w:spacing w:after="80" w:before="80"/>
      </w:pPr>
      <w:r>
        <w:rPr>
          <w:rFonts w:ascii="Arial" w:cs="Arial" w:eastAsia="Arial" w:hAnsi="Arial"/>
          <w:sz w:val="22"/>
          <w:szCs w:val="22"/>
        </w:rPr>
        <w:t xml:space="preserve">The current CLT/SIP system sources panels from existing manufacturers. The structural supply chain constraint — the nearest CLT factory is over 2,000 miles away, in Illinois — is the single greatest barrier to cost competitiveness at regional scale. Grant funding would enable Merge4Ward to complete the market study and pro forma for a Mid-Atlantic CLT/SIP manufacturing facility on Delaware's I-95 corridor, attracting private investment partners and NMTC financing. A regional factory eliminates $8–15/SF in freight premium, compresses lead times from 16–24 weeks to 3–4 weeks, and creates 40–60 manufacturing jobs in a living-wage, vocationally accessible sector.</w:t>
      </w:r>
    </w:p>
    <w:p>
      <w:pPr>
        <w:spacing w:after="80" w:before="80"/>
      </w:pPr>
      <w:r>
        <w:rPr>
          <w:rFonts w:ascii="Arial" w:cs="Arial" w:eastAsia="Arial" w:hAnsi="Arial"/>
          <w:sz w:val="22"/>
          <w:szCs w:val="22"/>
        </w:rPr>
        <w:t xml:space="preserve">Scale Up — Workforce and Community Wealth</w:t>
      </w:r>
    </w:p>
    <w:p>
      <w:pPr>
        <w:spacing w:after="80" w:before="80"/>
      </w:pPr>
      <w:r>
        <w:rPr>
          <w:rFonts w:ascii="Arial" w:cs="Arial" w:eastAsia="Arial" w:hAnsi="Arial"/>
          <w:sz w:val="22"/>
          <w:szCs w:val="22"/>
        </w:rPr>
        <w:t xml:space="preserve">Grant funding would launch the first cohort of the Forward Housing construction apprenticeship program in partnership with Delaware Technical and Community College, training 15–20 workers annually in CLT/SIP assembly and connection systems. As the system reaches commercial scale, the co-operative ownership model enables the communities that build Forward Housing to share in its financial success — closing the loop between housing construction and community wealth building.</w:t>
      </w:r>
    </w:p>
    <w:p>
      <w:pPr>
        <w:spacing w:after="80" w:before="60"/>
      </w:pPr>
      <w:r>
        <w:rPr>
          <w:rFonts w:ascii="Arial" w:cs="Arial" w:eastAsia="Arial" w:hAnsi="Arial"/>
          <w:i/>
          <w:iCs/>
          <w:color w:val="555555"/>
          <w:sz w:val="18"/>
          <w:szCs w:val="18"/>
        </w:rPr>
        <w:t xml:space="preserve">Character count: 2210 / 3000</w:t>
      </w:r>
    </w:p>
    <w:p>
      <w:pPr>
        <w:pBdr>
          <w:bottom w:val="single" w:color="C0DD97" w:sz="4" w:space="1"/>
        </w:pBdr>
        <w:spacing w:after="100" w:before="280"/>
      </w:pPr>
      <w:r>
        <w:rPr>
          <w:rFonts w:ascii="Arial" w:cs="Arial" w:eastAsia="Arial" w:hAnsi="Arial"/>
          <w:b/>
          <w:bCs/>
          <w:color w:val="196B23"/>
          <w:sz w:val="24"/>
          <w:szCs w:val="24"/>
        </w:rPr>
        <w:t xml:space="preserve">Q7  </w:t>
      </w:r>
      <w:r>
        <w:rPr>
          <w:rFonts w:ascii="Arial" w:cs="Arial" w:eastAsia="Arial" w:hAnsi="Arial"/>
          <w:b/>
          <w:bCs/>
          <w:color w:val="173404"/>
          <w:sz w:val="24"/>
          <w:szCs w:val="24"/>
        </w:rPr>
        <w:t xml:space="preserve">Does your innovation address persistent challenges in affordable housing?</w:t>
      </w:r>
      <w:r>
        <w:rPr>
          <w:rFonts w:ascii="Arial" w:cs="Arial" w:eastAsia="Arial" w:hAnsi="Arial"/>
          <w:i/>
          <w:iCs/>
          <w:color w:val="555555"/>
          <w:sz w:val="20"/>
          <w:szCs w:val="20"/>
        </w:rPr>
        <w:t xml:space="preserve">  [1,500 characters]</w:t>
      </w:r>
    </w:p>
    <w:p>
      <w:pPr>
        <w:spacing w:after="80" w:before="80"/>
      </w:pPr>
      <w:r>
        <w:rPr>
          <w:rFonts w:ascii="Arial" w:cs="Arial" w:eastAsia="Arial" w:hAnsi="Arial"/>
          <w:sz w:val="22"/>
          <w:szCs w:val="22"/>
        </w:rPr>
        <w:t xml:space="preserve">Forward Housing directly addresses three persistent affordable housing challenges that no single conventional construction method resolves simultaneously.</w:t>
      </w:r>
    </w:p>
    <w:p>
      <w:pPr>
        <w:spacing w:after="80" w:before="80"/>
      </w:pPr>
      <w:r>
        <w:rPr>
          <w:rFonts w:ascii="Arial" w:cs="Arial" w:eastAsia="Arial" w:hAnsi="Arial"/>
          <w:sz w:val="22"/>
          <w:szCs w:val="22"/>
        </w:rPr>
        <w:t xml:space="preserve">Zoning and density constraints in urban infill markets: The CLT/SIP hybrid system is engineered for 18–20 foot lot widths — the underutilized urban infill condition that dominates Wilmington's North Side, West Baltimore, and similar Mid-Atlantic corridor neighborhoods. Conventional wood frame construction on these lots produces thin, poorly insulated party walls and substandard thermal performance. CLT's structural efficiency at narrow spans, combined with SIP perimeter panels, enables full-width floor plates on constrained lots without sacrificing structural performance or fire resistance.</w:t>
      </w:r>
    </w:p>
    <w:p>
      <w:pPr>
        <w:spacing w:after="80" w:before="80"/>
      </w:pPr>
      <w:r>
        <w:rPr>
          <w:rFonts w:ascii="Arial" w:cs="Arial" w:eastAsia="Arial" w:hAnsi="Arial"/>
          <w:sz w:val="22"/>
          <w:szCs w:val="22"/>
        </w:rPr>
        <w:t xml:space="preserve">Construction cost unpredictability: The most persistent barrier to CDFI and housing finance agency confidence in nonprofit housing projects is construction budget credibility. The M4Di OI Tool produces independent, architect-led ROM estimates calibrated to actual Mid-Atlantic subcontractor pricing — not national cost databases. Every Forward Housing project is estimated using this methodology, giving funders a defensible, independently produced construction cost basis before design fees are committed.</w:t>
      </w:r>
    </w:p>
    <w:p>
      <w:pPr>
        <w:spacing w:after="80" w:before="80"/>
      </w:pPr>
      <w:r>
        <w:rPr>
          <w:rFonts w:ascii="Arial" w:cs="Arial" w:eastAsia="Arial" w:hAnsi="Arial"/>
          <w:sz w:val="22"/>
          <w:szCs w:val="22"/>
        </w:rPr>
        <w:t xml:space="preserve">IBC mass timber compliance complexity: IBC 2021 Type IV mass timber provisions allow CLT construction up to 18 stories but require explicit fire rating documentation and structural peer review that most community developers cannot navigate independently. The Claymont Hybrid permitting process has produced the technical documentation library that makes compliance reproducible — reducing the regulatory barrier for every subsequent Forward Housing project.</w:t>
      </w:r>
    </w:p>
    <w:p>
      <w:pPr>
        <w:spacing w:after="80" w:before="60"/>
      </w:pPr>
      <w:r>
        <w:rPr>
          <w:rFonts w:ascii="Arial" w:cs="Arial" w:eastAsia="Arial" w:hAnsi="Arial"/>
          <w:i/>
          <w:iCs/>
          <w:color w:val="555555"/>
          <w:sz w:val="18"/>
          <w:szCs w:val="18"/>
        </w:rPr>
        <w:t xml:space="preserve">Character count: 1720 / 1500</w:t>
      </w:r>
    </w:p>
    <w:p>
      <w:pPr>
        <w:pBdr>
          <w:bottom w:val="single" w:color="C0DD97" w:sz="4" w:space="1"/>
        </w:pBdr>
        <w:spacing w:after="100" w:before="280"/>
      </w:pPr>
      <w:r>
        <w:rPr>
          <w:rFonts w:ascii="Arial" w:cs="Arial" w:eastAsia="Arial" w:hAnsi="Arial"/>
          <w:b/>
          <w:bCs/>
          <w:color w:val="196B23"/>
          <w:sz w:val="24"/>
          <w:szCs w:val="24"/>
        </w:rPr>
        <w:t xml:space="preserve">Q8  </w:t>
      </w:r>
      <w:r>
        <w:rPr>
          <w:rFonts w:ascii="Arial" w:cs="Arial" w:eastAsia="Arial" w:hAnsi="Arial"/>
          <w:b/>
          <w:bCs/>
          <w:color w:val="173404"/>
          <w:sz w:val="24"/>
          <w:szCs w:val="24"/>
        </w:rPr>
        <w:t xml:space="preserve">Overview of organizational capabilities and expertise</w:t>
      </w:r>
      <w:r>
        <w:rPr>
          <w:rFonts w:ascii="Arial" w:cs="Arial" w:eastAsia="Arial" w:hAnsi="Arial"/>
          <w:i/>
          <w:iCs/>
          <w:color w:val="555555"/>
          <w:sz w:val="20"/>
          <w:szCs w:val="20"/>
        </w:rPr>
        <w:t xml:space="preserve">  [2,000 characters]</w:t>
      </w:r>
    </w:p>
    <w:p>
      <w:pPr>
        <w:spacing w:after="80" w:before="80"/>
      </w:pPr>
      <w:r>
        <w:rPr>
          <w:rFonts w:ascii="Arial" w:cs="Arial" w:eastAsia="Arial" w:hAnsi="Arial"/>
          <w:sz w:val="22"/>
          <w:szCs w:val="22"/>
        </w:rPr>
        <w:t xml:space="preserve">Merge4Ward LLC is a mission-driven development entity co-founded by the four principals of Merge 4 Design LLC — Trevor Knight, Leo Lynch, Travis Davis, and David Ainsworth, AIA — alongside L.E.E.P., Inc. (Gwenevere Motley), the community development partner currently advancing the Claymont Hybrid demonstration project.</w:t>
      </w:r>
    </w:p>
    <w:p>
      <w:pPr>
        <w:spacing w:after="80" w:before="80"/>
      </w:pPr>
      <w:r>
        <w:rPr>
          <w:rFonts w:ascii="Arial" w:cs="Arial" w:eastAsia="Arial" w:hAnsi="Arial"/>
          <w:sz w:val="22"/>
          <w:szCs w:val="22"/>
        </w:rPr>
        <w:t xml:space="preserve">Merge 4 Design LLC (M4D) is a Wilmington-based architecture and development consulting firm with demonstrated expertise in IDD residential, community medical, faith-based facilities, and urban infill housing. M4D led the design of the Claymont Hybrid Townhouse project, including the CLT/SIP structural system specification, AHJ coordination, and permit documentation.</w:t>
      </w:r>
    </w:p>
    <w:p>
      <w:pPr>
        <w:spacing w:after="80" w:before="80"/>
      </w:pPr>
      <w:r>
        <w:rPr>
          <w:rFonts w:ascii="Arial" w:cs="Arial" w:eastAsia="Arial" w:hAnsi="Arial"/>
          <w:sz w:val="22"/>
          <w:szCs w:val="22"/>
        </w:rPr>
        <w:t xml:space="preserve">Aubyn Architecture LLC (David C. Ainsworth, AIA) serves as Architect of Record on Delaware permitted projects, holding active licensure in Delaware (RA-0026498-A), Pennsylvania, and Connecticut. Aubyn Architecture is the licensed AOR on the Claymont Hybrid project and is responsible for all permit submissions and structural coordination.</w:t>
      </w:r>
    </w:p>
    <w:p>
      <w:pPr>
        <w:spacing w:after="80" w:before="80"/>
      </w:pPr>
      <w:r>
        <w:rPr>
          <w:rFonts w:ascii="Arial" w:cs="Arial" w:eastAsia="Arial" w:hAnsi="Arial"/>
          <w:sz w:val="22"/>
          <w:szCs w:val="22"/>
        </w:rPr>
        <w:t xml:space="preserve">M4Di — Merge 4 Development Institute — is the predevelopment cost intelligence platform co-founded by the M4D principals, operating under CB CDC fiscal sponsorship. M4Di's OI Tool has produced independent ROM estimates across $59M+ in active project development, including the Claymont Hybrid, the M-Well Community Health Campus (129,352 SF, Claymont DE), and the Merge4Ward dual-site feasibility study. M4Di's cost methodology is calibrated to actual Mid-Atlantic subcontractor pricing using BLS OEWS regional labor data.</w:t>
      </w:r>
    </w:p>
    <w:p>
      <w:pPr>
        <w:spacing w:after="80" w:before="80"/>
      </w:pPr>
      <w:r>
        <w:rPr>
          <w:rFonts w:ascii="Arial" w:cs="Arial" w:eastAsia="Arial" w:hAnsi="Arial"/>
          <w:sz w:val="22"/>
          <w:szCs w:val="22"/>
        </w:rPr>
        <w:t xml:space="preserve">L.E.E.P., Inc. is the community development partner and project owner for the Claymont Hybrid demonstration project, with deep community relationships and site control on the Claymont Street assemblage.</w:t>
      </w:r>
    </w:p>
    <w:p>
      <w:pPr>
        <w:spacing w:after="80" w:before="80"/>
      </w:pPr>
      <w:r>
        <w:rPr>
          <w:rFonts w:ascii="Arial" w:cs="Arial" w:eastAsia="Arial" w:hAnsi="Arial"/>
          <w:sz w:val="22"/>
          <w:szCs w:val="22"/>
        </w:rPr>
        <w:t xml:space="preserve">Combined, the Merge4Ward team brings licensed architectural practice, independent predevelopment cost intelligence, active permit coordination, and community development ownership into a single integrated delivery team.</w:t>
      </w:r>
    </w:p>
    <w:p>
      <w:pPr>
        <w:spacing w:after="80" w:before="60"/>
      </w:pPr>
      <w:r>
        <w:rPr>
          <w:rFonts w:ascii="Arial" w:cs="Arial" w:eastAsia="Arial" w:hAnsi="Arial"/>
          <w:i/>
          <w:iCs/>
          <w:color w:val="555555"/>
          <w:sz w:val="18"/>
          <w:szCs w:val="18"/>
        </w:rPr>
        <w:t xml:space="preserve">Character count: 1980 / 2000</w:t>
      </w:r>
    </w:p>
    <w:p>
      <w:pPr>
        <w:pBdr>
          <w:bottom w:val="single" w:color="C0DD97" w:sz="4" w:space="1"/>
        </w:pBdr>
        <w:spacing w:after="100" w:before="280"/>
      </w:pPr>
      <w:r>
        <w:rPr>
          <w:rFonts w:ascii="Arial" w:cs="Arial" w:eastAsia="Arial" w:hAnsi="Arial"/>
          <w:b/>
          <w:bCs/>
          <w:color w:val="196B23"/>
          <w:sz w:val="24"/>
          <w:szCs w:val="24"/>
        </w:rPr>
        <w:t xml:space="preserve">Q9  </w:t>
      </w:r>
      <w:r>
        <w:rPr>
          <w:rFonts w:ascii="Arial" w:cs="Arial" w:eastAsia="Arial" w:hAnsi="Arial"/>
          <w:b/>
          <w:bCs/>
          <w:color w:val="173404"/>
          <w:sz w:val="24"/>
          <w:szCs w:val="24"/>
        </w:rPr>
        <w:t xml:space="preserve">How will this award expand your reach, networks, and partnerships?</w:t>
      </w:r>
      <w:r>
        <w:rPr>
          <w:rFonts w:ascii="Arial" w:cs="Arial" w:eastAsia="Arial" w:hAnsi="Arial"/>
          <w:i/>
          <w:iCs/>
          <w:color w:val="555555"/>
          <w:sz w:val="20"/>
          <w:szCs w:val="20"/>
        </w:rPr>
        <w:t xml:space="preserve">  [1,500 characters]</w:t>
      </w:r>
    </w:p>
    <w:p>
      <w:pPr>
        <w:spacing w:after="80" w:before="80"/>
      </w:pPr>
      <w:r>
        <w:rPr>
          <w:rFonts w:ascii="Arial" w:cs="Arial" w:eastAsia="Arial" w:hAnsi="Arial"/>
          <w:sz w:val="22"/>
          <w:szCs w:val="22"/>
        </w:rPr>
        <w:t xml:space="preserve">The Housing Affordability Breakthrough Challenge award would expand Forward Housing's reach across four specific network dimensions.</w:t>
      </w:r>
    </w:p>
    <w:p>
      <w:pPr>
        <w:spacing w:after="80" w:before="80"/>
      </w:pPr>
      <w:r>
        <w:rPr>
          <w:rFonts w:ascii="Arial" w:cs="Arial" w:eastAsia="Arial" w:hAnsi="Arial"/>
          <w:sz w:val="22"/>
          <w:szCs w:val="22"/>
        </w:rPr>
        <w:t xml:space="preserve">CDFI and Housing Finance Agency Partnerships: The M4Di ALDDB Historical Cost Database, seeded by the Claymont Hybrid project and expanded through the multi-site replication initiative, gives CDFIs and state housing finance agencies (Delaware DSHA, Maryland DHCD, New Jersey HMFA, Pennsylvania PHFA) a defensible, independently produced CLT/SIP cost benchmark for underwriting. Award funding enables M4Di to formalize these relationships as portfolio intelligence partnerships — CDFIs reference M4Di benchmarks on every Forward Housing project they finance.</w:t>
      </w:r>
    </w:p>
    <w:p>
      <w:pPr>
        <w:spacing w:after="80" w:before="80"/>
      </w:pPr>
      <w:r>
        <w:rPr>
          <w:rFonts w:ascii="Arial" w:cs="Arial" w:eastAsia="Arial" w:hAnsi="Arial"/>
          <w:sz w:val="22"/>
          <w:szCs w:val="22"/>
        </w:rPr>
        <w:t xml:space="preserve">University and Research Partnerships: The CLT/SIP technical documentation library produced through the Claymont Hybrid permitting process is a legitimate research contribution. Award funding enables Merge4Ward to formalize a research partnership with the University of Delaware or Delaware State University, producing a peer-reviewed methodology paper on hybrid CLT/SIP performance in urban infill community housing. Federal co-PI grant opportunities (DOE, NSF, USDA) follow.</w:t>
      </w:r>
    </w:p>
    <w:p>
      <w:pPr>
        <w:spacing w:after="80" w:before="80"/>
      </w:pPr>
      <w:r>
        <w:rPr>
          <w:rFonts w:ascii="Arial" w:cs="Arial" w:eastAsia="Arial" w:hAnsi="Arial"/>
          <w:sz w:val="22"/>
          <w:szCs w:val="22"/>
        </w:rPr>
        <w:t xml:space="preserve">Contractor and Trade Partner Network: Award funding enables the Forward Housing construction apprenticeship program, building a trained regional workforce in CLT/SIP assembly. Graduates become the labor supply for every subsequent Forward Housing project, reducing erection crew mobilization costs and building a community-connected trade network.</w:t>
      </w:r>
    </w:p>
    <w:p>
      <w:pPr>
        <w:spacing w:after="80" w:before="80"/>
      </w:pPr>
      <w:r>
        <w:rPr>
          <w:rFonts w:ascii="Arial" w:cs="Arial" w:eastAsia="Arial" w:hAnsi="Arial"/>
          <w:sz w:val="22"/>
          <w:szCs w:val="22"/>
        </w:rPr>
        <w:t xml:space="preserve">National Peer Learning: Participation in the Enterprise peer learning network connects Forward Housing to the national affordable housing practitioner community — accelerating replication beyond the Mid-Atlantic and positioning the system for adoption by CDFIs and housing intermediaries in priority markets nationwide.</w:t>
      </w:r>
    </w:p>
    <w:p>
      <w:pPr>
        <w:spacing w:after="80" w:before="60"/>
      </w:pPr>
      <w:r>
        <w:rPr>
          <w:rFonts w:ascii="Arial" w:cs="Arial" w:eastAsia="Arial" w:hAnsi="Arial"/>
          <w:i/>
          <w:iCs/>
          <w:color w:val="555555"/>
          <w:sz w:val="18"/>
          <w:szCs w:val="18"/>
        </w:rPr>
        <w:t xml:space="preserve">Character count: 1837 / 1500</w:t>
      </w:r>
    </w:p>
    <w:p>
      <w:pPr>
        <w:pBdr>
          <w:bottom w:val="single" w:color="196B23" w:sz="8" w:space="1"/>
        </w:pBdr>
        <w:spacing w:after="160" w:before="160"/>
      </w:pPr>
      <w:r>
        <w:t xml:space="preserve"/>
      </w:r>
    </w:p>
    <w:p>
      <w:pPr>
        <w:spacing w:after="100" w:before="160"/>
      </w:pPr>
      <w:r>
        <w:rPr>
          <w:rFonts w:ascii="Arial" w:cs="Arial" w:eastAsia="Arial" w:hAnsi="Arial"/>
          <w:b/>
          <w:bCs/>
          <w:color w:val="173404"/>
          <w:sz w:val="24"/>
          <w:szCs w:val="24"/>
        </w:rPr>
        <w:t xml:space="preserve">Round 1 Scoring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Scoring Criterion</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1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Forward Housing Position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Innovative and transformative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CLT/SIP hybrid permit in Delaware; reframes 'affordable' as 'forward'</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Feasibility — pilot, proof of concept, clear outcomes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AE24-002 active permit; G0 ROM documented; technical library produced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 cost savings / additional resources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structural assembly time reduction; $8–15/SF freight savings at regional scale; SIP thermal savings for residents</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Time savings / process efficiencies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Factory fabrication compresses on-site timeline; permitting library reduces replication lead 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utility costs (R-40–R-60+ vs. R-13–R-19); co-op ownership pathway; community wealth building</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Innovation scalability</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Replicable system; regional factory; apprenticeship pipeline; CDFI benchmark integration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 demonstrated impact and proof of concept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permit application; G0 ROM; AHJ comment library</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Clarity on use of resources and implementation</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Three-track use of funds: replication, factory study, apprenticeship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team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Licensed AOR, 4-principal architecture firm, independent predevelopment platform, community development owner</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Focus area alignment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Design and Construction — all three sub-bullets addressed</w:t>
            </w:r>
          </w:p>
        </w:tc>
      </w:tr>
      <w:tr>
        <w:tc>
          <w:tcPr>
            <w:tcW w:type="dxa" w:w="400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Priority Market Bonus — DE, PA, NJ, MD all qualify</w:t>
            </w:r>
          </w:p>
        </w:tc>
        <w:tc>
          <w:tcPr>
            <w:tcW w:type="dxa" w:w="120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15</w:t>
            </w:r>
          </w:p>
        </w:tc>
        <w:tc>
          <w:tcPr>
            <w:tcW w:type="dxa" w:w="416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Strong — Wilmington-rooted, Mid-Atlantic regional system</w:t>
            </w:r>
          </w:p>
        </w:tc>
      </w:tr>
      <w:tr>
        <w:tc>
          <w:tcPr>
            <w:tcW w:type="dxa" w:w="400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Total available points</w:t>
            </w:r>
          </w:p>
        </w:tc>
        <w:tc>
          <w:tcPr>
            <w:tcW w:type="dxa" w:w="120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70</w:t>
            </w:r>
          </w:p>
        </w:tc>
        <w:tc>
          <w:tcPr>
            <w:tcW w:type="dxa" w:w="4160"/>
            <w:tcBorders>
              <w:top w:val="single" w:color="999999" w:sz="1"/>
              <w:left w:val="single" w:color="999999" w:sz="1"/>
              <w:bottom w:val="single" w:color="999999" w:sz="1"/>
              <w:right w:val="single" w:color="999999"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Forward Housing competitive across all categories</w:t>
            </w:r>
          </w:p>
        </w:tc>
      </w:tr>
    </w:tbl>
    <w:p>
      <w:pPr>
        <w:pBdr>
          <w:bottom w:val="single" w:color="196B23" w:sz="8" w:space="1"/>
        </w:pBdr>
        <w:spacing w:after="160" w:before="160"/>
      </w:pPr>
      <w:r>
        <w:t xml:space="preserve"/>
      </w:r>
    </w:p>
    <w:p>
      <w:pPr>
        <w:spacing w:after="80" w:before="80"/>
      </w:pPr>
      <w:r>
        <w:rPr>
          <w:rFonts w:ascii="Arial" w:cs="Arial" w:eastAsia="Arial" w:hAnsi="Arial"/>
          <w:i/>
          <w:iCs/>
          <w:color w:val="AA6600"/>
          <w:sz w:val="19"/>
          <w:szCs w:val="19"/>
        </w:rPr>
        <w:t xml:space="preserve">Items requiring confirmation before submission: (1) L.E.E.P., Inc. legal name and contact details. (2) Housing type AMI targeting — rental vs. homeownership. (3) CB CDC vs. L.E.E.P. as lead applicant — confirm with Trevor and Rev. Keeling. (4) Letters of support: minimum 1, maximum 3 — identify partner organizations.</w:t>
      </w:r>
    </w:p>
    <w:p>
      <w:pPr>
        <w:pBdr>
          <w:bottom w:val="single" w:color="196B23" w:sz="8" w:space="1"/>
        </w:pBdr>
        <w:spacing w:after="160" w:before="160"/>
      </w:pPr>
      <w:r>
        <w:t xml:space="preserve"/>
      </w:r>
    </w:p>
    <w:p>
      <w:pPr>
        <w:spacing w:before="120"/>
        <w:jc w:val="center"/>
      </w:pPr>
      <w:r>
        <w:rPr>
          <w:rFonts w:ascii="Arial" w:cs="Arial" w:eastAsia="Arial" w:hAnsi="Arial"/>
          <w:color w:val="555555"/>
          <w:sz w:val="18"/>
          <w:szCs w:val="18"/>
        </w:rPr>
        <w:t xml:space="preserve">Forward Housing by Merge4Ward  ·  Draft Application  ·  May 2026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2026-05-05T22:58:07.072Z</dcterms:created>
  <dcterms:modified xsi:type="dcterms:W3CDTF">2026-05-05T22:58:07.085Z</dcterms:modified>
</cp:coreProperties>
</file>

<file path=docProps/custom.xml><?xml version="1.0" encoding="utf-8"?>
<Properties xmlns="http://schemas.openxmlformats.org/officeDocument/2006/custom-properties" xmlns:vt="http://schemas.openxmlformats.org/officeDocument/2006/docPropsVTypes"/>
</file>