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caps/>
          <w:color w:val="196B23"/>
          <w:sz w:val="16"/>
          <w:szCs w:val="16"/>
        </w:rPr>
        <w:t xml:space="preserve">MERGE4WARD  ·  STRATEGIC MEMO + FEASIBILITY ADDENDUM</w:t>
      </w:r>
    </w:p>
    <w:p>
      <w:pPr>
        <w:pBdr>
          <w:bottom w:val="single" w:color="196B23" w:sz="16" w:space="6"/>
        </w:pBdr>
        <w:spacing w:after="80" w:before="0"/>
      </w:pPr>
      <w:r>
        <w:rPr>
          <w:rFonts w:ascii="Arial" w:cs="Arial" w:eastAsia="Arial" w:hAnsi="Arial"/>
          <w:b/>
          <w:bCs/>
          <w:caps w:val="false"/>
          <w:color w:val="1A1A18"/>
          <w:sz w:val="34"/>
          <w:szCs w:val="34"/>
        </w:rPr>
        <w:t xml:space="preserve">ZÜBLIN Timber — Strategic Partnership Evaluation
and Fire Testing Laboratory Feasibility</w:t>
      </w:r>
    </w:p>
    <w:p>
      <w:pPr>
        <w:spacing w:after="80" w:before="0"/>
        <w:jc w:val="left"/>
      </w:pPr>
      <w:r>
        <w:rPr>
          <w:rFonts w:ascii="Arial" w:cs="Arial" w:eastAsia="Arial" w:hAnsi="Arial"/>
          <w:b w:val="false"/>
          <w:bCs w:val="false"/>
          <w:caps w:val="false"/>
          <w:color w:val="1A1A1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jc w:val="left"/>
            </w:pPr>
            <w:r>
              <w:rPr>
                <w:rFonts w:ascii="Arial" w:cs="Arial" w:eastAsia="Arial" w:hAnsi="Arial"/>
                <w:b/>
                <w:bCs/>
                <w:caps w:val="false"/>
                <w:color w:val="196B23"/>
                <w:sz w:val="18"/>
                <w:szCs w:val="18"/>
              </w:rPr>
              <w:t xml:space="preserve">Subject</w:t>
            </w:r>
          </w:p>
        </w:tc>
        <w:tc>
          <w:tcPr>
            <w:tcW w:type="dxa" w:w="77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left"/>
            </w:pPr>
            <w:r>
              <w:rPr>
                <w:rFonts w:ascii="Arial" w:cs="Arial" w:eastAsia="Arial" w:hAnsi="Arial"/>
                <w:b w:val="false"/>
                <w:bCs w:val="false"/>
                <w:caps w:val="false"/>
                <w:color w:val="1A1A18"/>
                <w:sz w:val="18"/>
                <w:szCs w:val="18"/>
              </w:rPr>
              <w:t xml:space="preserve">ZÜBLIN Timber outreach and model evaluation; Merge4Ward Fire Testing Laboratory feasibility</w:t>
            </w:r>
          </w:p>
        </w:tc>
      </w:tr>
      <w:tr>
        <w:tc>
          <w:tcPr>
            <w:tcW w:type="dxa" w:w="16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jc w:val="left"/>
            </w:pPr>
            <w:r>
              <w:rPr>
                <w:rFonts w:ascii="Arial" w:cs="Arial" w:eastAsia="Arial" w:hAnsi="Arial"/>
                <w:b/>
                <w:bCs/>
                <w:caps w:val="false"/>
                <w:color w:val="196B23"/>
                <w:sz w:val="18"/>
                <w:szCs w:val="18"/>
              </w:rPr>
              <w:t xml:space="preserve">Author</w:t>
            </w:r>
          </w:p>
        </w:tc>
        <w:tc>
          <w:tcPr>
            <w:tcW w:type="dxa" w:w="77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left"/>
            </w:pPr>
            <w:r>
              <w:rPr>
                <w:rFonts w:ascii="Arial" w:cs="Arial" w:eastAsia="Arial" w:hAnsi="Arial"/>
                <w:b w:val="false"/>
                <w:bCs w:val="false"/>
                <w:caps w:val="false"/>
                <w:color w:val="1A1A18"/>
                <w:sz w:val="18"/>
                <w:szCs w:val="18"/>
              </w:rPr>
              <w:t xml:space="preserve">David Ainsworth — for the Merge4Ward partnership</w:t>
            </w:r>
          </w:p>
        </w:tc>
      </w:tr>
      <w:tr>
        <w:tc>
          <w:tcPr>
            <w:tcW w:type="dxa" w:w="16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jc w:val="left"/>
            </w:pPr>
            <w:r>
              <w:rPr>
                <w:rFonts w:ascii="Arial" w:cs="Arial" w:eastAsia="Arial" w:hAnsi="Arial"/>
                <w:b/>
                <w:bCs/>
                <w:caps w:val="false"/>
                <w:color w:val="196B23"/>
                <w:sz w:val="18"/>
                <w:szCs w:val="18"/>
              </w:rPr>
              <w:t xml:space="preserve">Date</w:t>
            </w:r>
          </w:p>
        </w:tc>
        <w:tc>
          <w:tcPr>
            <w:tcW w:type="dxa" w:w="77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left"/>
            </w:pPr>
            <w:r>
              <w:rPr>
                <w:rFonts w:ascii="Arial" w:cs="Arial" w:eastAsia="Arial" w:hAnsi="Arial"/>
                <w:b w:val="false"/>
                <w:bCs w:val="false"/>
                <w:caps w:val="false"/>
                <w:color w:val="1A1A18"/>
                <w:sz w:val="18"/>
                <w:szCs w:val="18"/>
              </w:rPr>
              <w:t xml:space="preserve">May 2026</w:t>
            </w:r>
          </w:p>
        </w:tc>
      </w:tr>
      <w:tr>
        <w:tc>
          <w:tcPr>
            <w:tcW w:type="dxa" w:w="16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jc w:val="left"/>
            </w:pPr>
            <w:r>
              <w:rPr>
                <w:rFonts w:ascii="Arial" w:cs="Arial" w:eastAsia="Arial" w:hAnsi="Arial"/>
                <w:b/>
                <w:bCs/>
                <w:caps w:val="false"/>
                <w:color w:val="196B23"/>
                <w:sz w:val="18"/>
                <w:szCs w:val="18"/>
              </w:rPr>
              <w:t xml:space="preserve">Distribution</w:t>
            </w:r>
          </w:p>
        </w:tc>
        <w:tc>
          <w:tcPr>
            <w:tcW w:type="dxa" w:w="77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left"/>
            </w:pPr>
            <w:r>
              <w:rPr>
                <w:rFonts w:ascii="Arial" w:cs="Arial" w:eastAsia="Arial" w:hAnsi="Arial"/>
                <w:b w:val="false"/>
                <w:bCs w:val="false"/>
                <w:caps w:val="false"/>
                <w:color w:val="1A1A18"/>
                <w:sz w:val="18"/>
                <w:szCs w:val="18"/>
              </w:rPr>
              <w:t xml:space="preserve">Trevor Knight (GMD), Leo Lynch (Operations), Travis Davis (Delivery), Gwen Motley (LEEP DE / Merge4Ward)</w:t>
            </w:r>
          </w:p>
        </w:tc>
      </w:tr>
      <w:tr>
        <w:tc>
          <w:tcPr>
            <w:tcW w:type="dxa" w:w="160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jc w:val="left"/>
            </w:pPr>
            <w:r>
              <w:rPr>
                <w:rFonts w:ascii="Arial" w:cs="Arial" w:eastAsia="Arial" w:hAnsi="Arial"/>
                <w:b/>
                <w:bCs/>
                <w:caps w:val="false"/>
                <w:color w:val="196B23"/>
                <w:sz w:val="18"/>
                <w:szCs w:val="18"/>
              </w:rPr>
              <w:t xml:space="preserve">Status</w:t>
            </w:r>
          </w:p>
        </w:tc>
        <w:tc>
          <w:tcPr>
            <w:tcW w:type="dxa" w:w="776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jc w:val="left"/>
            </w:pPr>
            <w:r>
              <w:rPr>
                <w:rFonts w:ascii="Arial" w:cs="Arial" w:eastAsia="Arial" w:hAnsi="Arial"/>
                <w:b w:val="false"/>
                <w:bCs w:val="false"/>
                <w:caps w:val="false"/>
                <w:color w:val="1A1A18"/>
                <w:sz w:val="18"/>
                <w:szCs w:val="18"/>
              </w:rPr>
              <w:t xml:space="preserve">Internal strategic discussion — not for external distribution</w:t>
            </w:r>
          </w:p>
        </w:tc>
      </w:tr>
    </w:tbl>
    <w:p>
      <w:pPr>
        <w:spacing w:after="200" w:before="0"/>
        <w:jc w:val="left"/>
      </w:pPr>
      <w:r>
        <w:rPr>
          <w:rFonts w:ascii="Arial" w:cs="Arial" w:eastAsia="Arial" w:hAnsi="Arial"/>
          <w:b w:val="false"/>
          <w:bCs w:val="false"/>
          <w:caps w:val="false"/>
          <w:color w:val="1A1A18"/>
          <w:sz w:val="20"/>
          <w:szCs w:val="20"/>
        </w:rPr>
        <w:t xml:space="preserve"/>
      </w:r>
    </w:p>
    <w:p>
      <w:pPr>
        <w:pBdr>
          <w:bottom w:val="single" w:color="196B23" w:sz="8" w:space="4"/>
        </w:pBdr>
        <w:spacing w:after="120" w:before="360"/>
      </w:pPr>
      <w:r>
        <w:rPr>
          <w:rFonts w:ascii="Arial" w:cs="Arial" w:eastAsia="Arial" w:hAnsi="Arial"/>
          <w:b/>
          <w:bCs/>
          <w:caps w:val="false"/>
          <w:color w:val="196B23"/>
          <w:sz w:val="28"/>
          <w:szCs w:val="28"/>
        </w:rPr>
        <w:t xml:space="preserve">Bottom Line Up Front</w:t>
      </w:r>
    </w:p>
    <w:p>
      <w:pPr>
        <w:pBdr>
          <w:left w:val="single" w:color="196B23" w:sz="16" w:space="8"/>
        </w:pBdr>
        <w:shd w:fill="E8F2E8" w:val="clear"/>
        <w:spacing w:after="120" w:before="120"/>
        <w:ind w:left="180"/>
      </w:pPr>
      <w:r>
        <w:rPr>
          <w:rFonts w:ascii="Arial" w:cs="Arial" w:eastAsia="Arial" w:hAnsi="Arial"/>
          <w:b w:val="false"/>
          <w:bCs w:val="false"/>
          <w:caps w:val="false"/>
          <w:color w:val="1A1A18"/>
          <w:sz w:val="19"/>
          <w:szCs w:val="19"/>
        </w:rPr>
        <w:t xml:space="preserve">On reaching out to ZÜBLIN Timber as a potential US partner: Yes, but not yet. The right time is post-Wells Fargo/Enterprise grant decision and post-Claymont production start, with one specific carve-out: if Riverfront East Parcel B advances, ZÜBLIN's curved-CLT capability (LENO®-3D) is uniquely suited to a public pavilion and that becomes a project-specific reason to reach out earlier.</w:t>
      </w:r>
    </w:p>
    <w:p>
      <w:pPr>
        <w:spacing w:after="80" w:before="0"/>
        <w:jc w:val="left"/>
      </w:pPr>
      <w:r>
        <w:rPr>
          <w:rFonts w:ascii="Arial" w:cs="Arial" w:eastAsia="Arial" w:hAnsi="Arial"/>
          <w:b w:val="false"/>
          <w:bCs w:val="false"/>
          <w:caps w:val="false"/>
          <w:color w:val="1A1A18"/>
          <w:sz w:val="20"/>
          <w:szCs w:val="20"/>
        </w:rPr>
        <w:t xml:space="preserve"/>
      </w:r>
    </w:p>
    <w:p>
      <w:pPr>
        <w:pBdr>
          <w:left w:val="single" w:color="196B23" w:sz="16" w:space="8"/>
        </w:pBdr>
        <w:shd w:fill="E8F2E8" w:val="clear"/>
        <w:spacing w:after="120" w:before="120"/>
        <w:ind w:left="180"/>
      </w:pPr>
      <w:r>
        <w:rPr>
          <w:rFonts w:ascii="Arial" w:cs="Arial" w:eastAsia="Arial" w:hAnsi="Arial"/>
          <w:b w:val="false"/>
          <w:bCs w:val="false"/>
          <w:caps w:val="false"/>
          <w:color w:val="1A1A18"/>
          <w:sz w:val="19"/>
          <w:szCs w:val="19"/>
        </w:rPr>
        <w:t xml:space="preserve">On using ZÜBLIN's model as a template: Strongly yes — but as a Phase-2/Phase-3 evolution of Merge4Ward, not a Phase-1 starting point. ZÜBLIN's strength is not that they manufacture CLT. It is that they operate a vertically-integrated timber project delivery platform where manufacturing is one node among several. That model is directly importable to the Mid-Atlantic, and adopting its logic now shapes how Phase 1 should be structured to enable the later expansion.</w:t>
      </w:r>
    </w:p>
    <w:p>
      <w:pPr>
        <w:spacing w:after="80" w:before="0"/>
        <w:jc w:val="left"/>
      </w:pPr>
      <w:r>
        <w:rPr>
          <w:rFonts w:ascii="Arial" w:cs="Arial" w:eastAsia="Arial" w:hAnsi="Arial"/>
          <w:b w:val="false"/>
          <w:bCs w:val="false"/>
          <w:caps w:val="false"/>
          <w:color w:val="1A1A18"/>
          <w:sz w:val="20"/>
          <w:szCs w:val="20"/>
        </w:rPr>
        <w:t xml:space="preserve"/>
      </w:r>
    </w:p>
    <w:p>
      <w:pPr>
        <w:pBdr>
          <w:left w:val="single" w:color="B8962E" w:sz="16" w:space="8"/>
        </w:pBdr>
        <w:shd w:fill="FDF8EE" w:val="clear"/>
        <w:spacing w:after="120" w:before="120"/>
        <w:ind w:left="180"/>
      </w:pPr>
      <w:r>
        <w:rPr>
          <w:rFonts w:ascii="Arial" w:cs="Arial" w:eastAsia="Arial" w:hAnsi="Arial"/>
          <w:b w:val="false"/>
          <w:bCs w:val="false"/>
          <w:caps w:val="false"/>
          <w:color w:val="1A1A18"/>
          <w:sz w:val="19"/>
          <w:szCs w:val="19"/>
        </w:rPr>
        <w:t xml:space="preserve">On the Merge4Ward Fire Testing Laboratory: A Delaware-sited ASTM E119-accredited fire testing laboratory is a viable Phase 2 strategic initiative — co-located with the manufacturing campus, serving the Mid-Atlantic building materials gap, and generating third-party revenue that compounds the Merge4Ward moat. The capital requirement, accreditation timeline, and geographic advantage each support a structured feasibility path beginning in 2027.</w:t>
      </w:r>
    </w:p>
    <w:p>
      <w:pPr>
        <w:spacing w:after="160" w:before="0"/>
        <w:jc w:val="left"/>
      </w:pPr>
      <w:r>
        <w:rPr>
          <w:rFonts w:ascii="Arial" w:cs="Arial" w:eastAsia="Arial" w:hAnsi="Arial"/>
          <w:b w:val="false"/>
          <w:bCs w:val="false"/>
          <w:caps w:val="false"/>
          <w:color w:val="1A1A18"/>
          <w:sz w:val="20"/>
          <w:szCs w:val="20"/>
        </w:rPr>
        <w:t xml:space="preserve"/>
      </w:r>
    </w:p>
    <w:p>
      <w:pPr>
        <w:pBdr>
          <w:bottom w:val="single" w:color="196B23" w:sz="8" w:space="4"/>
        </w:pBdr>
        <w:spacing w:after="120" w:before="360"/>
      </w:pPr>
      <w:r>
        <w:rPr>
          <w:rFonts w:ascii="Arial" w:cs="Arial" w:eastAsia="Arial" w:hAnsi="Arial"/>
          <w:b/>
          <w:bCs/>
          <w:caps w:val="false"/>
          <w:color w:val="196B23"/>
          <w:sz w:val="28"/>
          <w:szCs w:val="28"/>
        </w:rPr>
        <w:t xml:space="preserve">1. Who ZÜBLIN Timber Is</w:t>
      </w:r>
    </w:p>
    <w:p>
      <w:pPr>
        <w:spacing w:after="100" w:before="0"/>
        <w:jc w:val="left"/>
      </w:pPr>
      <w:r>
        <w:rPr>
          <w:rFonts w:ascii="Arial" w:cs="Arial" w:eastAsia="Arial" w:hAnsi="Arial"/>
          <w:b w:val="false"/>
          <w:bCs w:val="false"/>
          <w:caps w:val="false"/>
          <w:color w:val="1A1A18"/>
          <w:sz w:val="19"/>
          <w:szCs w:val="19"/>
        </w:rPr>
        <w:t xml:space="preserve">ZÜBLIN Timber GmbH is a wholly-owned subsidiary of STRABAG SE — the Austrian construction multinational with roughly €17B in annual revenue and 73,000 employees, one of the largest construction firms in Europe. ZÜBLIN Timber operates from Aichach, Germany with branch offices in Leutkirch, Gaildorf, Neu-Ulm, Stuttgart, and Berlin. They are part of STRABAG's publicly stated commitment to be climate-neutral by 2040.</w:t>
      </w:r>
    </w:p>
    <w:p>
      <w:pPr>
        <w:spacing w:after="80" w:before="0"/>
        <w:jc w:val="left"/>
      </w:pPr>
      <w:r>
        <w:rPr>
          <w:rFonts w:ascii="Arial" w:cs="Arial" w:eastAsia="Arial" w:hAnsi="Arial"/>
          <w:b w:val="false"/>
          <w:bCs w:val="false"/>
          <w:caps w:val="false"/>
          <w:color w:val="1A1A18"/>
          <w:sz w:val="20"/>
          <w:szCs w:val="20"/>
        </w:rPr>
        <w:t xml:space="preserve"/>
      </w:r>
    </w:p>
    <w:p>
      <w:pPr>
        <w:spacing w:after="80" w:before="280"/>
      </w:pPr>
      <w:r>
        <w:rPr>
          <w:rFonts w:ascii="Arial" w:cs="Arial" w:eastAsia="Arial" w:hAnsi="Arial"/>
          <w:b/>
          <w:bCs/>
          <w:caps w:val="false"/>
          <w:color w:val="1A1A18"/>
          <w:sz w:val="22"/>
          <w:szCs w:val="22"/>
        </w:rPr>
        <w:t xml:space="preserve">Their Product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Product</w:t>
            </w:r>
          </w:p>
        </w:tc>
        <w:tc>
          <w:tcPr>
            <w:tcW w:type="dxa" w:w="716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Description</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LENO® CLT</w:t>
            </w:r>
          </w:p>
        </w:tc>
        <w:tc>
          <w:tcPr>
            <w:tcW w:type="dxa" w:w="7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Solid CLT panels up to 4.80 m × 20 m (15.7' × 65.6'), thicknesses 60–320 mm. ETA-10/0241 European Technical Assessment.</w:t>
            </w:r>
          </w:p>
        </w:tc>
      </w:tr>
      <w:tr>
        <w:tc>
          <w:tcPr>
            <w:tcW w:type="dxa" w:w="2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LENO®-ADD</w:t>
            </w:r>
          </w:p>
        </w:tc>
        <w:tc>
          <w:tcPr>
            <w:tcW w:type="dxa" w:w="71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Prefab wall panels built on LENO® CLT base with insulation, cladding, and interior finishes installed in factory; unfinished, unfinished with substructure, or fully finished including wood façade.</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MOLENO</w:t>
            </w:r>
          </w:p>
        </w:tc>
        <w:tc>
          <w:tcPr>
            <w:tcW w:type="dxa" w:w="7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Extensively prefabricated LENO® CLT external walls combined with wide-span concrete floors; designed for serial/standardized residential construction.</w:t>
            </w:r>
          </w:p>
        </w:tc>
      </w:tr>
      <w:tr>
        <w:tc>
          <w:tcPr>
            <w:tcW w:type="dxa" w:w="2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LENO®-HYBRID</w:t>
            </w:r>
          </w:p>
        </w:tc>
        <w:tc>
          <w:tcPr>
            <w:tcW w:type="dxa" w:w="71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CLT panels with substituted high-stress layers (LVL or OSB) for large-span or point-supported conditions.</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LENO®-3D</w:t>
            </w:r>
          </w:p>
        </w:tc>
        <w:tc>
          <w:tcPr>
            <w:tcW w:type="dxa" w:w="7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Uniaxially or biaxially curved CLT, radii ≥ 9 m, dimensions 4.50 m × 14.50 m. No US producer currently offers this capability.</w:t>
            </w:r>
          </w:p>
        </w:tc>
      </w:tr>
      <w:tr>
        <w:tc>
          <w:tcPr>
            <w:tcW w:type="dxa" w:w="2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Stressed-skin panels</w:t>
            </w:r>
          </w:p>
        </w:tc>
        <w:tc>
          <w:tcPr>
            <w:tcW w:type="dxa" w:w="71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High-performance ribbed panels for spans up to 20 m, GLT-CLT combinations.</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LVL components</w:t>
            </w:r>
          </w:p>
        </w:tc>
        <w:tc>
          <w:tcPr>
            <w:tcW w:type="dxa" w:w="7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Large-format reglued/pressure-impregnated LVL for façade, columns, beams, and outdoor structural use.</w:t>
            </w:r>
          </w:p>
        </w:tc>
      </w:tr>
      <w:tr>
        <w:tc>
          <w:tcPr>
            <w:tcW w:type="dxa" w:w="2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Tools &amp; connectors</w:t>
            </w:r>
          </w:p>
        </w:tc>
        <w:tc>
          <w:tcPr>
            <w:tcW w:type="dxa" w:w="71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Column supports, tension anchors, NHT beam connectors, screw connectors, MGA screw foundations — sold under the zimmereibedarf.com brand.</w:t>
            </w:r>
          </w:p>
        </w:tc>
      </w:tr>
    </w:tbl>
    <w:p>
      <w:pPr>
        <w:spacing w:after="120" w:before="0"/>
        <w:jc w:val="left"/>
      </w:pPr>
      <w:r>
        <w:rPr>
          <w:rFonts w:ascii="Arial" w:cs="Arial" w:eastAsia="Arial" w:hAnsi="Arial"/>
          <w:b w:val="false"/>
          <w:bCs w:val="false"/>
          <w:caps w:val="false"/>
          <w:color w:val="1A1A18"/>
          <w:sz w:val="20"/>
          <w:szCs w:val="20"/>
        </w:rPr>
        <w:t xml:space="preserve"/>
      </w:r>
    </w:p>
    <w:p>
      <w:pPr>
        <w:spacing w:after="80" w:before="280"/>
      </w:pPr>
      <w:r>
        <w:rPr>
          <w:rFonts w:ascii="Arial" w:cs="Arial" w:eastAsia="Arial" w:hAnsi="Arial"/>
          <w:b/>
          <w:bCs/>
          <w:caps w:val="false"/>
          <w:color w:val="1A1A18"/>
          <w:sz w:val="22"/>
          <w:szCs w:val="22"/>
        </w:rPr>
        <w:t xml:space="preserve">Their Service Stack</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Consulting (pre-project advisory)</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Structural pre-analysis and construction proposals</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Structural design and workshop planning</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Element planning — translating architectural/structural drawings into element-level shop drawings</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High-quality production with CNC + robot + skilled-employee manual trimming</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On-time delivery with special transports</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Project support throughout the construction phase</w:t>
      </w:r>
    </w:p>
    <w:p>
      <w:pPr>
        <w:spacing w:after="80" w:before="0"/>
        <w:jc w:val="left"/>
      </w:pPr>
      <w:r>
        <w:rPr>
          <w:rFonts w:ascii="Arial" w:cs="Arial" w:eastAsia="Arial" w:hAnsi="Arial"/>
          <w:b w:val="false"/>
          <w:bCs w:val="false"/>
          <w:caps w:val="false"/>
          <w:color w:val="1A1A18"/>
          <w:sz w:val="20"/>
          <w:szCs w:val="20"/>
        </w:rPr>
        <w:t xml:space="preserve"/>
      </w:r>
    </w:p>
    <w:p>
      <w:pPr>
        <w:pBdr>
          <w:left w:val="single" w:color="196B23" w:sz="16" w:space="8"/>
        </w:pBdr>
        <w:shd w:fill="E8F2E8" w:val="clear"/>
        <w:spacing w:after="120" w:before="120"/>
        <w:ind w:left="180"/>
      </w:pPr>
      <w:r>
        <w:rPr>
          <w:rFonts w:ascii="Arial" w:cs="Arial" w:eastAsia="Arial" w:hAnsi="Arial"/>
          <w:b w:val="false"/>
          <w:bCs w:val="false"/>
          <w:caps w:val="false"/>
          <w:color w:val="1A1A18"/>
          <w:sz w:val="19"/>
          <w:szCs w:val="19"/>
        </w:rPr>
        <w:t xml:space="preserve">ZÜBLIN's target customer language explicitly identifies "Carpenter, Timber Builder, Architect, Engineer" as primary customers. David Ainsworth is two of those four directly. The cultural framing — "From Person to Person — Personal and Authentic" — suggests partnership openness rather than commodity supplier posture.</w:t>
      </w:r>
    </w:p>
    <w:p>
      <w:pPr>
        <w:spacing w:after="80" w:before="0"/>
        <w:jc w:val="left"/>
      </w:pPr>
      <w:r>
        <w:rPr>
          <w:rFonts w:ascii="Arial" w:cs="Arial" w:eastAsia="Arial" w:hAnsi="Arial"/>
          <w:b w:val="false"/>
          <w:bCs w:val="false"/>
          <w:caps w:val="false"/>
          <w:color w:val="1A1A18"/>
          <w:sz w:val="20"/>
          <w:szCs w:val="20"/>
        </w:rPr>
        <w:t xml:space="preserve"/>
      </w:r>
    </w:p>
    <w:p>
      <w:pPr>
        <w:spacing w:after="80" w:before="0"/>
        <w:jc w:val="left"/>
      </w:pPr>
      <w:r>
        <w:rPr>
          <w:rFonts w:ascii="Arial" w:cs="Arial" w:eastAsia="Arial" w:hAnsi="Arial"/>
          <w:b/>
          <w:bCs/>
          <w:caps w:val="false"/>
          <w:color w:val="196B23"/>
          <w:sz w:val="19"/>
          <w:szCs w:val="19"/>
        </w:rPr>
        <w:t xml:space="preserve">US Presence:  </w:t>
      </w:r>
      <w:r>
        <w:rPr>
          <w:rFonts w:ascii="Arial" w:cs="Arial" w:eastAsia="Arial" w:hAnsi="Arial"/>
          <w:b w:val="false"/>
          <w:bCs w:val="false"/>
          <w:caps w:val="false"/>
          <w:color w:val="1A1A18"/>
          <w:sz w:val="19"/>
          <w:szCs w:val="19"/>
        </w:rPr>
        <w:t xml:space="preserve">None. No US office, no US subsidiary, no US ICC-ES evaluation for any LENO® product. All approvals are European (ETA-10/0241). This is the opening.</w:t>
      </w:r>
    </w:p>
    <w:p>
      <w:pPr>
        <w:spacing w:after="160" w:before="0"/>
        <w:jc w:val="left"/>
      </w:pPr>
      <w:r>
        <w:rPr>
          <w:rFonts w:ascii="Arial" w:cs="Arial" w:eastAsia="Arial" w:hAnsi="Arial"/>
          <w:b w:val="false"/>
          <w:bCs w:val="false"/>
          <w:caps w:val="false"/>
          <w:color w:val="1A1A18"/>
          <w:sz w:val="20"/>
          <w:szCs w:val="20"/>
        </w:rPr>
        <w:t xml:space="preserve"/>
      </w:r>
    </w:p>
    <w:p>
      <w:pPr>
        <w:pBdr>
          <w:bottom w:val="single" w:color="196B23" w:sz="8" w:space="4"/>
        </w:pBdr>
        <w:spacing w:after="120" w:before="360"/>
      </w:pPr>
      <w:r>
        <w:rPr>
          <w:rFonts w:ascii="Arial" w:cs="Arial" w:eastAsia="Arial" w:hAnsi="Arial"/>
          <w:b/>
          <w:bCs/>
          <w:caps w:val="false"/>
          <w:color w:val="196B23"/>
          <w:sz w:val="28"/>
          <w:szCs w:val="28"/>
        </w:rPr>
        <w:t xml:space="preserve">2. Outreach Question — Should Merge4Ward Reach Out Now?</w:t>
      </w:r>
    </w:p>
    <w:p>
      <w:pPr>
        <w:spacing w:after="80" w:before="280"/>
      </w:pPr>
      <w:r>
        <w:rPr>
          <w:rFonts w:ascii="Arial" w:cs="Arial" w:eastAsia="Arial" w:hAnsi="Arial"/>
          <w:b/>
          <w:bCs/>
          <w:caps w:val="false"/>
          <w:color w:val="1A1A18"/>
          <w:sz w:val="22"/>
          <w:szCs w:val="22"/>
        </w:rPr>
        <w:t xml:space="preserve">2.1  Why a "yes" is plausible</w:t>
      </w:r>
    </w:p>
    <w:p>
      <w:pPr>
        <w:spacing w:after="100" w:before="0"/>
        <w:jc w:val="left"/>
      </w:pPr>
      <w:r>
        <w:rPr>
          <w:rFonts w:ascii="Arial" w:cs="Arial" w:eastAsia="Arial" w:hAnsi="Arial"/>
          <w:b w:val="false"/>
          <w:bCs w:val="false"/>
          <w:caps w:val="false"/>
          <w:color w:val="1A1A18"/>
          <w:sz w:val="19"/>
          <w:szCs w:val="19"/>
        </w:rPr>
        <w:t xml:space="preserve">Three specific reasons make this more than a long shot.</w:t>
      </w:r>
    </w:p>
    <w:p>
      <w:pPr>
        <w:spacing w:after="60" w:before="200"/>
      </w:pPr>
      <w:r>
        <w:rPr>
          <w:rFonts w:ascii="Arial" w:cs="Arial" w:eastAsia="Arial" w:hAnsi="Arial"/>
          <w:b/>
          <w:bCs/>
          <w:caps w:val="false"/>
          <w:color w:val="196B23"/>
          <w:sz w:val="20"/>
          <w:szCs w:val="20"/>
        </w:rPr>
        <w:t xml:space="preserve">Size mismatch cuts both ways</w:t>
      </w:r>
    </w:p>
    <w:p>
      <w:pPr>
        <w:spacing w:after="100" w:before="0"/>
        <w:jc w:val="left"/>
      </w:pPr>
      <w:r>
        <w:rPr>
          <w:rFonts w:ascii="Arial" w:cs="Arial" w:eastAsia="Arial" w:hAnsi="Arial"/>
          <w:b w:val="false"/>
          <w:bCs w:val="false"/>
          <w:caps w:val="false"/>
          <w:color w:val="1A1A18"/>
          <w:sz w:val="19"/>
          <w:szCs w:val="19"/>
        </w:rPr>
        <w:t xml:space="preserve">Yes, STRABAG is a top-10 European construction firm and Merge4Ward is a forming five-partner LLC. But STRABAG's stated climate-neutral-by-2040 commitment requires something to happen in North America, and ZÜBLIN's brochure explicitly invites partnership. Their North American presence is currently zero. If they intend to enter the US market — and the climate commitment plus the brochure framing suggests they are at least open to it — a US partnership conversation is genuinely interesting to them, not a nuisance.</w:t>
      </w:r>
    </w:p>
    <w:p>
      <w:pPr>
        <w:spacing w:after="60" w:before="200"/>
      </w:pPr>
      <w:r>
        <w:rPr>
          <w:rFonts w:ascii="Arial" w:cs="Arial" w:eastAsia="Arial" w:hAnsi="Arial"/>
          <w:b/>
          <w:bCs/>
          <w:caps w:val="false"/>
          <w:color w:val="196B23"/>
          <w:sz w:val="20"/>
          <w:szCs w:val="20"/>
        </w:rPr>
        <w:t xml:space="preserve">Technical complementarity is real</w:t>
      </w:r>
    </w:p>
    <w:p>
      <w:pPr>
        <w:spacing w:after="100" w:before="0"/>
        <w:jc w:val="left"/>
      </w:pPr>
      <w:r>
        <w:rPr>
          <w:rFonts w:ascii="Arial" w:cs="Arial" w:eastAsia="Arial" w:hAnsi="Arial"/>
          <w:b w:val="false"/>
          <w:bCs w:val="false"/>
          <w:caps w:val="false"/>
          <w:color w:val="1A1A18"/>
          <w:sz w:val="19"/>
          <w:szCs w:val="19"/>
        </w:rPr>
        <w:t xml:space="preserve">ZÜBLIN has twenty years of European CLT/timber-hybrid manufacturing maturity, ETA-approved product lines, and a service model that already handles the architect/engineer/builder customer they want to serve. Merge4Ward has Mid-Atlantic site access, federal/state grant alignment (EDA, NMTC, DEDO, EPA Brownfields), municipal alignment (Wilmington OED), and a workforce pipeline through LEEP DE. The complementarity is asymmetric but coherent.</w:t>
      </w:r>
    </w:p>
    <w:p>
      <w:pPr>
        <w:spacing w:after="60" w:before="200"/>
      </w:pPr>
      <w:r>
        <w:rPr>
          <w:rFonts w:ascii="Arial" w:cs="Arial" w:eastAsia="Arial" w:hAnsi="Arial"/>
          <w:b/>
          <w:bCs/>
          <w:caps w:val="false"/>
          <w:color w:val="196B23"/>
          <w:sz w:val="20"/>
          <w:szCs w:val="20"/>
        </w:rPr>
        <w:t xml:space="preserve">The precedent exists</w:t>
      </w:r>
    </w:p>
    <w:p>
      <w:pPr>
        <w:spacing w:after="100" w:before="0"/>
        <w:jc w:val="left"/>
      </w:pPr>
      <w:r>
        <w:rPr>
          <w:rFonts w:ascii="Arial" w:cs="Arial" w:eastAsia="Arial" w:hAnsi="Arial"/>
          <w:b w:val="false"/>
          <w:bCs w:val="false"/>
          <w:caps w:val="false"/>
          <w:color w:val="1A1A18"/>
          <w:sz w:val="19"/>
          <w:szCs w:val="19"/>
        </w:rPr>
        <w:t xml:space="preserve">Stora Enso (Finnish CLT) has multiple US licensing and supply partnerships. Lendlease (Australian) entered US modular through partnership rather than greenfield. KLH (Austrian CLT) supplies several US project pipelines through partner-distributors. The European-CLT-firm-partners-with-US-market-entrant pattern is established.</w:t>
      </w:r>
    </w:p>
    <w:p>
      <w:pPr>
        <w:spacing w:after="80" w:before="0"/>
        <w:jc w:val="left"/>
      </w:pPr>
      <w:r>
        <w:rPr>
          <w:rFonts w:ascii="Arial" w:cs="Arial" w:eastAsia="Arial" w:hAnsi="Arial"/>
          <w:b w:val="false"/>
          <w:bCs w:val="false"/>
          <w:caps w:val="false"/>
          <w:color w:val="1A1A18"/>
          <w:sz w:val="20"/>
          <w:szCs w:val="20"/>
        </w:rPr>
        <w:t xml:space="preserve"/>
      </w:r>
    </w:p>
    <w:p>
      <w:pPr>
        <w:spacing w:after="80" w:before="280"/>
      </w:pPr>
      <w:r>
        <w:rPr>
          <w:rFonts w:ascii="Arial" w:cs="Arial" w:eastAsia="Arial" w:hAnsi="Arial"/>
          <w:b/>
          <w:bCs/>
          <w:caps w:val="false"/>
          <w:color w:val="1A1A18"/>
          <w:sz w:val="22"/>
          <w:szCs w:val="22"/>
        </w:rPr>
        <w:t xml:space="preserve">2.2  Why "yes — but not yet" is the right answer</w:t>
      </w:r>
    </w:p>
    <w:p>
      <w:pPr>
        <w:spacing w:after="100" w:before="0"/>
        <w:jc w:val="left"/>
      </w:pPr>
      <w:r>
        <w:rPr>
          <w:rFonts w:ascii="Arial" w:cs="Arial" w:eastAsia="Arial" w:hAnsi="Arial"/>
          <w:b w:val="false"/>
          <w:bCs w:val="false"/>
          <w:caps w:val="false"/>
          <w:color w:val="1A1A18"/>
          <w:sz w:val="19"/>
          <w:szCs w:val="19"/>
        </w:rPr>
        <w:t xml:space="preserve">The credibility weight of an outreach today is light. Merge4Ward at this writing has no signed MOU between the five partners, no secured site, no equipment, no capital commitment, no executed grant application in the relevant programs, and no completed project to point to as proof of concept. By Q3 2026 the posture changes: Claymont will be under construction using CLT/SIP; the Wells Fargo/Enterprise application will have been submitted; the Wilmington OED alignment will be documented; and M4Di will have a funded operating track. That is a materially stronger opening position.</w:t>
      </w:r>
    </w:p>
    <w:p>
      <w:pPr>
        <w:spacing w:after="80" w:before="0"/>
        <w:jc w:val="left"/>
      </w:pPr>
      <w:r>
        <w:rPr>
          <w:rFonts w:ascii="Arial" w:cs="Arial" w:eastAsia="Arial" w:hAnsi="Arial"/>
          <w:b w:val="false"/>
          <w:bCs w:val="false"/>
          <w:caps w:val="false"/>
          <w:color w:val="1A1A18"/>
          <w:sz w:val="20"/>
          <w:szCs w:val="20"/>
        </w:rPr>
        <w:t xml:space="preserve"/>
      </w:r>
    </w:p>
    <w:p>
      <w:pPr>
        <w:spacing w:after="80" w:before="280"/>
      </w:pPr>
      <w:r>
        <w:rPr>
          <w:rFonts w:ascii="Arial" w:cs="Arial" w:eastAsia="Arial" w:hAnsi="Arial"/>
          <w:b/>
          <w:bCs/>
          <w:caps w:val="false"/>
          <w:color w:val="1A1A18"/>
          <w:sz w:val="22"/>
          <w:szCs w:val="22"/>
        </w:rPr>
        <w:t xml:space="preserve">2.3  The Parcel B carve-out</w:t>
      </w:r>
    </w:p>
    <w:p>
      <w:pPr>
        <w:spacing w:after="100" w:before="0"/>
        <w:jc w:val="left"/>
      </w:pPr>
      <w:r>
        <w:rPr>
          <w:rFonts w:ascii="Arial" w:cs="Arial" w:eastAsia="Arial" w:hAnsi="Arial"/>
          <w:b w:val="false"/>
          <w:bCs w:val="false"/>
          <w:caps w:val="false"/>
          <w:color w:val="1A1A18"/>
          <w:sz w:val="19"/>
          <w:szCs w:val="19"/>
        </w:rPr>
        <w:t xml:space="preserve">If Riverfront East Parcel B advances as a public pavilion project, ZÜBLIN's LENO®-3D curved-CLT capability is uniquely relevant — no US producer can provide curved CLT at commercial scale. That becomes a project-specific reason to reach out earlier, framed around a specific design problem rather than a general partnership inquiry. Hold this in reserve and activate if the Parcel B conversation advances with RDC.</w:t>
      </w:r>
    </w:p>
    <w:p>
      <w:pPr>
        <w:spacing w:after="80" w:before="0"/>
        <w:jc w:val="left"/>
      </w:pPr>
      <w:r>
        <w:rPr>
          <w:rFonts w:ascii="Arial" w:cs="Arial" w:eastAsia="Arial" w:hAnsi="Arial"/>
          <w:b w:val="false"/>
          <w:bCs w:val="false"/>
          <w:caps w:val="false"/>
          <w:color w:val="1A1A18"/>
          <w:sz w:val="20"/>
          <w:szCs w:val="20"/>
        </w:rPr>
        <w:t xml:space="preserve"/>
      </w:r>
    </w:p>
    <w:p>
      <w:pPr>
        <w:spacing w:after="80" w:before="280"/>
      </w:pPr>
      <w:r>
        <w:rPr>
          <w:rFonts w:ascii="Arial" w:cs="Arial" w:eastAsia="Arial" w:hAnsi="Arial"/>
          <w:b/>
          <w:bCs/>
          <w:caps w:val="false"/>
          <w:color w:val="1A1A18"/>
          <w:sz w:val="22"/>
          <w:szCs w:val="22"/>
        </w:rPr>
        <w:t xml:space="preserve">2.4  Partnership structure options</w:t>
      </w:r>
    </w:p>
    <w:p>
      <w:pPr>
        <w:spacing w:after="100" w:before="0"/>
        <w:jc w:val="left"/>
      </w:pPr>
      <w:r>
        <w:rPr>
          <w:rFonts w:ascii="Arial" w:cs="Arial" w:eastAsia="Arial" w:hAnsi="Arial"/>
          <w:b w:val="false"/>
          <w:bCs w:val="false"/>
          <w:caps w:val="false"/>
          <w:color w:val="1A1A18"/>
          <w:sz w:val="19"/>
          <w:szCs w:val="19"/>
        </w:rPr>
        <w:t xml:space="preserve">Four structural models are available when outreach does occur, in ascending order of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tcW w:type="dxa" w:w="20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Model</w:t>
            </w:r>
          </w:p>
        </w:tc>
        <w:tc>
          <w:tcPr>
            <w:tcW w:type="dxa" w:w="556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Description</w:t>
            </w:r>
          </w:p>
        </w:tc>
        <w:tc>
          <w:tcPr>
            <w:tcW w:type="dxa" w:w="18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Target Timing</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Supply Agreement</w:t>
            </w:r>
          </w:p>
        </w:tc>
        <w:tc>
          <w:tcPr>
            <w:tcW w:type="dxa" w:w="5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Merge4Ward purchases LENO® CLT from ZÜBLIN as a US distributor. Lowest commitment, fastest to execute, limited upside.</w:t>
            </w:r>
          </w:p>
        </w:tc>
        <w:tc>
          <w:tcPr>
            <w:tcW w:type="dxa" w:w="1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Year 1–2</w:t>
            </w:r>
          </w:p>
        </w:tc>
      </w:tr>
      <w:tr>
        <w:tc>
          <w:tcPr>
            <w:tcW w:type="dxa" w:w="20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Connector Distribution</w:t>
            </w:r>
          </w:p>
        </w:tc>
        <w:tc>
          <w:tcPr>
            <w:tcW w:type="dxa" w:w="55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Merge4Ward distributes ZÜBLIN's connector/joining product line (zimmereibedarf.com) in the US market. Low capital, immediate revenue, builds the relationship.</w:t>
            </w:r>
          </w:p>
        </w:tc>
        <w:tc>
          <w:tcPr>
            <w:tcW w:type="dxa" w:w="18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Year 1</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Technology License</w:t>
            </w:r>
          </w:p>
        </w:tc>
        <w:tc>
          <w:tcPr>
            <w:tcW w:type="dxa" w:w="5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ZÜBLIN licenses manufacturing methods and product specifications to Merge4Ward for US production. Requires IP negotiation, EOR involvement, ICC-ES ESR development.</w:t>
            </w:r>
          </w:p>
        </w:tc>
        <w:tc>
          <w:tcPr>
            <w:tcW w:type="dxa" w:w="1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Year 3–4</w:t>
            </w:r>
          </w:p>
        </w:tc>
      </w:tr>
      <w:tr>
        <w:tc>
          <w:tcPr>
            <w:tcW w:type="dxa" w:w="20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Joint Venture</w:t>
            </w:r>
          </w:p>
        </w:tc>
        <w:tc>
          <w:tcPr>
            <w:tcW w:type="dxa" w:w="55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STRABAG/ZÜBLIN takes an equity stake in Merge4Ward or a Merge4Ward subsidiary. Maximum alignment, maximum complexity, requires both parties to be much further along.</w:t>
            </w:r>
          </w:p>
        </w:tc>
        <w:tc>
          <w:tcPr>
            <w:tcW w:type="dxa" w:w="18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Year 5+</w:t>
            </w:r>
          </w:p>
        </w:tc>
      </w:tr>
    </w:tbl>
    <w:p>
      <w:pPr>
        <w:spacing w:after="160" w:before="0"/>
        <w:jc w:val="left"/>
      </w:pPr>
      <w:r>
        <w:rPr>
          <w:rFonts w:ascii="Arial" w:cs="Arial" w:eastAsia="Arial" w:hAnsi="Arial"/>
          <w:b w:val="false"/>
          <w:bCs w:val="false"/>
          <w:caps w:val="false"/>
          <w:color w:val="1A1A18"/>
          <w:sz w:val="20"/>
          <w:szCs w:val="20"/>
        </w:rPr>
        <w:t xml:space="preserve"/>
      </w:r>
    </w:p>
    <w:p>
      <w:pPr>
        <w:pBdr>
          <w:bottom w:val="single" w:color="196B23" w:sz="8" w:space="4"/>
        </w:pBdr>
        <w:spacing w:after="120" w:before="360"/>
      </w:pPr>
      <w:r>
        <w:rPr>
          <w:rFonts w:ascii="Arial" w:cs="Arial" w:eastAsia="Arial" w:hAnsi="Arial"/>
          <w:b/>
          <w:bCs/>
          <w:caps w:val="false"/>
          <w:color w:val="196B23"/>
          <w:sz w:val="28"/>
          <w:szCs w:val="28"/>
        </w:rPr>
        <w:t xml:space="preserve">3. Evaluating the ZÜBLIN Model for Merge4Ward</w:t>
      </w:r>
    </w:p>
    <w:p>
      <w:pPr>
        <w:spacing w:after="80" w:before="280"/>
      </w:pPr>
      <w:r>
        <w:rPr>
          <w:rFonts w:ascii="Arial" w:cs="Arial" w:eastAsia="Arial" w:hAnsi="Arial"/>
          <w:b/>
          <w:bCs/>
          <w:caps w:val="false"/>
          <w:color w:val="1A1A18"/>
          <w:sz w:val="22"/>
          <w:szCs w:val="22"/>
        </w:rPr>
        <w:t xml:space="preserve">3.1  What the model actually is</w:t>
      </w:r>
    </w:p>
    <w:p>
      <w:pPr>
        <w:spacing w:after="100" w:before="0"/>
        <w:jc w:val="left"/>
      </w:pPr>
      <w:r>
        <w:rPr>
          <w:rFonts w:ascii="Arial" w:cs="Arial" w:eastAsia="Arial" w:hAnsi="Arial"/>
          <w:b w:val="false"/>
          <w:bCs w:val="false"/>
          <w:caps w:val="false"/>
          <w:color w:val="1A1A18"/>
          <w:sz w:val="19"/>
          <w:szCs w:val="19"/>
        </w:rPr>
        <w:t xml:space="preserve">The ZÜBLIN model is not a manufacturing business. It is a vertically-integrated timber project delivery platform in which manufacturing is one node. The service stack — pre-project consulting, structural pre-analysis, element planning, production, delivery, and construction-phase support — is the product. The CLT is the material that flows through that service stack. This distinction matters because it means the model's competitive advantage is service integration, not manufacturing scale. That is directly importable to the Mid-Atlantic without a $50M factory investment.</w:t>
      </w:r>
    </w:p>
    <w:p>
      <w:pPr>
        <w:spacing w:after="80" w:before="0"/>
        <w:jc w:val="left"/>
      </w:pPr>
      <w:r>
        <w:rPr>
          <w:rFonts w:ascii="Arial" w:cs="Arial" w:eastAsia="Arial" w:hAnsi="Arial"/>
          <w:b w:val="false"/>
          <w:bCs w:val="false"/>
          <w:caps w:val="false"/>
          <w:color w:val="1A1A18"/>
          <w:sz w:val="20"/>
          <w:szCs w:val="20"/>
        </w:rPr>
        <w:t xml:space="preserve"/>
      </w:r>
    </w:p>
    <w:p>
      <w:pPr>
        <w:spacing w:after="80" w:before="280"/>
      </w:pPr>
      <w:r>
        <w:rPr>
          <w:rFonts w:ascii="Arial" w:cs="Arial" w:eastAsia="Arial" w:hAnsi="Arial"/>
          <w:b/>
          <w:bCs/>
          <w:caps w:val="false"/>
          <w:color w:val="1A1A18"/>
          <w:sz w:val="22"/>
          <w:szCs w:val="22"/>
        </w:rPr>
        <w:t xml:space="preserve">3.2  Phase mapping — ZÜBLIN logic applied to Merge4Ward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1200"/>
        <w:gridCol w:w="2160"/>
      </w:tblGrid>
      <w:tr>
        <w:trPr>
          <w:tblHeader/>
        </w:trPr>
        <w:tc>
          <w:tcPr>
            <w:tcW w:type="dxa" w:w="16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Phase</w:t>
            </w:r>
          </w:p>
        </w:tc>
        <w:tc>
          <w:tcPr>
            <w:tcW w:type="dxa" w:w="30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Scope</w:t>
            </w:r>
          </w:p>
        </w:tc>
        <w:tc>
          <w:tcPr>
            <w:tcW w:type="dxa" w:w="14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Footprint Add</w:t>
            </w:r>
          </w:p>
        </w:tc>
        <w:tc>
          <w:tcPr>
            <w:tcW w:type="dxa" w:w="12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Timing</w:t>
            </w:r>
          </w:p>
        </w:tc>
        <w:tc>
          <w:tcPr>
            <w:tcW w:type="dxa" w:w="216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Est. Capital</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Phase 1 — Now</w:t>
            </w:r>
          </w:p>
        </w:tc>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SIP press + CLT cutting/staging + LEEP workforce training</w:t>
            </w:r>
          </w:p>
        </w:tc>
        <w:tc>
          <w:tcPr>
            <w:tcW w:type="dxa" w:w="14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30,000–45,000 SF</w:t>
            </w:r>
          </w:p>
        </w:tc>
        <w:tc>
          <w:tcPr>
            <w:tcW w:type="dxa" w:w="1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Year 1–2</w:t>
            </w:r>
          </w:p>
        </w:tc>
        <w:tc>
          <w:tcPr>
            <w:tcW w:type="dxa" w:w="2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$2M–$5M</w:t>
            </w:r>
          </w:p>
        </w:tc>
      </w:tr>
      <w:tr>
        <w:tc>
          <w:tcPr>
            <w:tcW w:type="dxa" w:w="16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Phase 2 — Year 2–3</w:t>
            </w:r>
          </w:p>
        </w:tc>
        <w:tc>
          <w:tcPr>
            <w:tcW w:type="dxa" w:w="30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Prefab finished-wall line (LENO®-ADD equivalent) + connector distribution</w:t>
            </w:r>
          </w:p>
        </w:tc>
        <w:tc>
          <w:tcPr>
            <w:tcW w:type="dxa" w:w="14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+15,000–20,000 SF</w:t>
            </w:r>
          </w:p>
        </w:tc>
        <w:tc>
          <w:tcPr>
            <w:tcW w:type="dxa" w:w="1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Year 2–3</w:t>
            </w:r>
          </w:p>
        </w:tc>
        <w:tc>
          <w:tcPr>
            <w:tcW w:type="dxa" w:w="21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$3M–$6M additional</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Phase 3 — Year 3–5</w:t>
            </w:r>
          </w:p>
        </w:tc>
        <w:tc>
          <w:tcPr>
            <w:tcW w:type="dxa" w:w="3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MOLENO-equivalent multi-story system for WHA pipeline + curved CLT evaluation</w:t>
            </w:r>
          </w:p>
        </w:tc>
        <w:tc>
          <w:tcPr>
            <w:tcW w:type="dxa" w:w="14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+10,000 SF + site</w:t>
            </w:r>
          </w:p>
        </w:tc>
        <w:tc>
          <w:tcPr>
            <w:tcW w:type="dxa" w:w="1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Year 3–5</w:t>
            </w:r>
          </w:p>
        </w:tc>
        <w:tc>
          <w:tcPr>
            <w:tcW w:type="dxa" w:w="2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$5M–$12M additional</w:t>
            </w:r>
          </w:p>
        </w:tc>
      </w:tr>
      <w:tr>
        <w:tc>
          <w:tcPr>
            <w:tcW w:type="dxa" w:w="16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Phase 4 — Year 5+</w:t>
            </w:r>
          </w:p>
        </w:tc>
        <w:tc>
          <w:tcPr>
            <w:tcW w:type="dxa" w:w="30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LENO®-3D equivalent curved CLT + technology licensing + sister entities</w:t>
            </w:r>
          </w:p>
        </w:tc>
        <w:tc>
          <w:tcPr>
            <w:tcW w:type="dxa" w:w="14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Ultimate 8–12 acres</w:t>
            </w:r>
          </w:p>
        </w:tc>
        <w:tc>
          <w:tcPr>
            <w:tcW w:type="dxa" w:w="1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Year 5+</w:t>
            </w:r>
          </w:p>
        </w:tc>
        <w:tc>
          <w:tcPr>
            <w:tcW w:type="dxa" w:w="21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TBD — ZÜBLIN partnership dependent</w:t>
            </w:r>
          </w:p>
        </w:tc>
      </w:tr>
    </w:tbl>
    <w:p>
      <w:pPr>
        <w:spacing w:after="80" w:before="0"/>
        <w:jc w:val="left"/>
      </w:pPr>
      <w:r>
        <w:rPr>
          <w:rFonts w:ascii="Arial" w:cs="Arial" w:eastAsia="Arial" w:hAnsi="Arial"/>
          <w:b w:val="false"/>
          <w:bCs w:val="false"/>
          <w:caps w:val="false"/>
          <w:color w:val="1A1A18"/>
          <w:sz w:val="20"/>
          <w:szCs w:val="20"/>
        </w:rPr>
        <w:t xml:space="preserve"/>
      </w:r>
    </w:p>
    <w:p>
      <w:pPr>
        <w:spacing w:after="80" w:before="280"/>
      </w:pPr>
      <w:r>
        <w:rPr>
          <w:rFonts w:ascii="Arial" w:cs="Arial" w:eastAsia="Arial" w:hAnsi="Arial"/>
          <w:b/>
          <w:bCs/>
          <w:caps w:val="false"/>
          <w:color w:val="1A1A18"/>
          <w:sz w:val="22"/>
          <w:szCs w:val="22"/>
        </w:rPr>
        <w:t xml:space="preserve">3.3  Connector distribution as Year 1 revenue</w:t>
      </w:r>
    </w:p>
    <w:p>
      <w:pPr>
        <w:spacing w:after="100" w:before="0"/>
        <w:jc w:val="left"/>
      </w:pPr>
      <w:r>
        <w:rPr>
          <w:rFonts w:ascii="Arial" w:cs="Arial" w:eastAsia="Arial" w:hAnsi="Arial"/>
          <w:b w:val="false"/>
          <w:bCs w:val="false"/>
          <w:caps w:val="false"/>
          <w:color w:val="1A1A18"/>
          <w:sz w:val="19"/>
          <w:szCs w:val="19"/>
        </w:rPr>
        <w:t xml:space="preserve">The lowest-capital, fastest-revenue, highest-relationship-building move available: become a US distributor for ZÜBLIN's connector and joining technology product line (zimmereibedarf.com brand). The products are already engineered, already priced, already documented. Merge4Ward adds a SKU list and a US customer base. The relationship created by a distribution agreement is exactly the foundation from which a technology license conversation can later grow — because ZÜBLIN will have direct visibility into US market demand data.</w:t>
      </w:r>
    </w:p>
    <w:p>
      <w:pPr>
        <w:spacing w:after="80" w:before="0"/>
        <w:jc w:val="left"/>
      </w:pPr>
      <w:r>
        <w:rPr>
          <w:rFonts w:ascii="Arial" w:cs="Arial" w:eastAsia="Arial" w:hAnsi="Arial"/>
          <w:b w:val="false"/>
          <w:bCs w:val="false"/>
          <w:caps w:val="false"/>
          <w:color w:val="1A1A18"/>
          <w:sz w:val="20"/>
          <w:szCs w:val="20"/>
        </w:rPr>
        <w:t xml:space="preserve"/>
      </w:r>
    </w:p>
    <w:p>
      <w:pPr>
        <w:spacing w:after="80" w:before="280"/>
      </w:pPr>
      <w:r>
        <w:rPr>
          <w:rFonts w:ascii="Arial" w:cs="Arial" w:eastAsia="Arial" w:hAnsi="Arial"/>
          <w:b/>
          <w:bCs/>
          <w:caps w:val="false"/>
          <w:color w:val="1A1A18"/>
          <w:sz w:val="22"/>
          <w:szCs w:val="22"/>
        </w:rPr>
        <w:t xml:space="preserve">3.4  SIPs, off-site stick framing, and 3D concrete printing</w:t>
      </w:r>
    </w:p>
    <w:p>
      <w:pPr>
        <w:spacing w:after="60" w:before="200"/>
      </w:pPr>
      <w:r>
        <w:rPr>
          <w:rFonts w:ascii="Arial" w:cs="Arial" w:eastAsia="Arial" w:hAnsi="Arial"/>
          <w:b/>
          <w:bCs/>
          <w:caps w:val="false"/>
          <w:color w:val="196B23"/>
          <w:sz w:val="20"/>
          <w:szCs w:val="20"/>
        </w:rPr>
        <w:t xml:space="preserve">SIPs — fits cleanly</w:t>
      </w:r>
    </w:p>
    <w:p>
      <w:pPr>
        <w:spacing w:after="100" w:before="0"/>
        <w:jc w:val="left"/>
      </w:pPr>
      <w:r>
        <w:rPr>
          <w:rFonts w:ascii="Arial" w:cs="Arial" w:eastAsia="Arial" w:hAnsi="Arial"/>
          <w:b w:val="false"/>
          <w:bCs w:val="false"/>
          <w:caps w:val="false"/>
          <w:color w:val="1A1A18"/>
          <w:sz w:val="19"/>
          <w:szCs w:val="19"/>
        </w:rPr>
        <w:t xml:space="preserve">ZÜBLIN does not sell SIPs because the European market shifted past SIPs toward CLT-based prefab walls. In the US, SIPs remain a major residential and small-commercial product category. SIPs and CLT-prefab walls are parallel offerings under one delivery platform: light projects get SIPs; heavier projects get CLT-based walls. Merge4Ward delivers either; the customer chooses based on project requirements.</w:t>
      </w:r>
    </w:p>
    <w:p>
      <w:pPr>
        <w:spacing w:after="60" w:before="200"/>
      </w:pPr>
      <w:r>
        <w:rPr>
          <w:rFonts w:ascii="Arial" w:cs="Arial" w:eastAsia="Arial" w:hAnsi="Arial"/>
          <w:b/>
          <w:bCs/>
          <w:caps w:val="false"/>
          <w:color w:val="196B23"/>
          <w:sz w:val="20"/>
          <w:szCs w:val="20"/>
        </w:rPr>
        <w:t xml:space="preserve">Off-site stick framing — achievable but risky</w:t>
      </w:r>
    </w:p>
    <w:p>
      <w:pPr>
        <w:spacing w:after="100" w:before="0"/>
        <w:jc w:val="left"/>
      </w:pPr>
      <w:r>
        <w:rPr>
          <w:rFonts w:ascii="Arial" w:cs="Arial" w:eastAsia="Arial" w:hAnsi="Arial"/>
          <w:b w:val="false"/>
          <w:bCs w:val="false"/>
          <w:caps w:val="false"/>
          <w:color w:val="1A1A18"/>
          <w:sz w:val="19"/>
          <w:szCs w:val="19"/>
        </w:rPr>
        <w:t xml:space="preserve">Achievable with the same crew, same factory, same logistics. But if Merge4Ward becomes "the panelized framing company" instead of "the CLT/SIP timber company", the workforce training story weakens, the carbon footprint story weakens, and the grant eligibility story weakens. Recommended as a clearly-named secondary product line — "Merge4Ward Bridge" — marketed as a transition offering for projects in transition to advanced timber, not as the primary brand.</w:t>
      </w:r>
    </w:p>
    <w:p>
      <w:pPr>
        <w:spacing w:after="60" w:before="200"/>
      </w:pPr>
      <w:r>
        <w:rPr>
          <w:rFonts w:ascii="Arial" w:cs="Arial" w:eastAsia="Arial" w:hAnsi="Arial"/>
          <w:b/>
          <w:bCs/>
          <w:caps w:val="false"/>
          <w:color w:val="196B23"/>
          <w:sz w:val="20"/>
          <w:szCs w:val="20"/>
        </w:rPr>
        <w:t xml:space="preserve">3D concrete printing — same site, separate entity</w:t>
      </w:r>
    </w:p>
    <w:p>
      <w:pPr>
        <w:spacing w:after="100" w:before="0"/>
        <w:jc w:val="left"/>
      </w:pPr>
      <w:r>
        <w:rPr>
          <w:rFonts w:ascii="Arial" w:cs="Arial" w:eastAsia="Arial" w:hAnsi="Arial"/>
          <w:b w:val="false"/>
          <w:bCs w:val="false"/>
          <w:caps w:val="false"/>
          <w:color w:val="1A1A18"/>
          <w:sz w:val="19"/>
          <w:szCs w:val="19"/>
        </w:rPr>
        <w:t xml:space="preserve">Different material, different equipment, different technical staff, different customer base. Putting this under the Merge4Ward LLC roof creates a category mistake. The right structure: a sister entity (Merge4Ward Print LLC) sharing the site and the M4D customer base, but with its own equipment, its own P&amp;L, and Phase 3 timing. The argument for same-campus co-location is real — clients touring see a complete sustainable construction stack. The argument for entity separation is also real — 3D concrete printing is currently money-losing in most US installations and should not drag down a profitable timber operation's balance sheet during the learning years.</w:t>
      </w:r>
    </w:p>
    <w:p>
      <w:pPr>
        <w:spacing w:after="80" w:before="0"/>
        <w:jc w:val="left"/>
      </w:pPr>
      <w:r>
        <w:rPr>
          <w:rFonts w:ascii="Arial" w:cs="Arial" w:eastAsia="Arial" w:hAnsi="Arial"/>
          <w:b w:val="false"/>
          <w:bCs w:val="false"/>
          <w:caps w:val="false"/>
          <w:color w:val="1A1A18"/>
          <w:sz w:val="20"/>
          <w:szCs w:val="20"/>
        </w:rPr>
        <w:t xml:space="preserve"/>
      </w:r>
    </w:p>
    <w:p>
      <w:pPr>
        <w:spacing w:after="80" w:before="280"/>
      </w:pPr>
      <w:r>
        <w:rPr>
          <w:rFonts w:ascii="Arial" w:cs="Arial" w:eastAsia="Arial" w:hAnsi="Arial"/>
          <w:b/>
          <w:bCs/>
          <w:caps w:val="false"/>
          <w:color w:val="1A1A18"/>
          <w:sz w:val="22"/>
          <w:szCs w:val="22"/>
        </w:rPr>
        <w:t xml:space="preserve">3.5  Phase 1 structural implications</w:t>
      </w:r>
    </w:p>
    <w:p>
      <w:pPr>
        <w:spacing w:after="100" w:before="0"/>
        <w:jc w:val="left"/>
      </w:pPr>
      <w:r>
        <w:rPr>
          <w:rFonts w:ascii="Arial" w:cs="Arial" w:eastAsia="Arial" w:hAnsi="Arial"/>
          <w:b w:val="false"/>
          <w:bCs w:val="false"/>
          <w:caps w:val="false"/>
          <w:color w:val="1A1A18"/>
          <w:sz w:val="19"/>
          <w:szCs w:val="19"/>
        </w:rPr>
        <w:t xml:space="preserve">Decisions made now in Phase 1 should leave room for Phase 2 and Phase 3 expansion. Three specific items:</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Site selection: evaluate ultimate footprint at 8–12 acres, not just Phase 1 footprint of 1–6 acres. Site A's 4–6 acres with brownfield is the right Phase 1 site; Site B's 1–2 acres is only viable with confirmed adjacent expansion parcels.</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Equipment specification: Phase 1 commodity SIP press is correct. But foundation depths, ceiling heights, crane bay dimensions, and electrical service should accommodate Phase 2 CLT-finishing equipment and ultimately the Phase 4 3D press if reached.</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Operating agreement: should explicitly contemplate future product lines beyond CLT/SIP, future entity formation for sister operations, and future conversion to worker cooperative status without losing the strategic-product expansion path.</w:t>
      </w:r>
    </w:p>
    <w:p>
      <w:pPr>
        <w:spacing w:after="160" w:before="0"/>
        <w:jc w:val="left"/>
      </w:pPr>
      <w:r>
        <w:rPr>
          <w:rFonts w:ascii="Arial" w:cs="Arial" w:eastAsia="Arial" w:hAnsi="Arial"/>
          <w:b w:val="false"/>
          <w:bCs w:val="false"/>
          <w:caps w:val="false"/>
          <w:color w:val="1A1A18"/>
          <w:sz w:val="20"/>
          <w:szCs w:val="20"/>
        </w:rPr>
        <w:t xml:space="preserve"/>
      </w:r>
    </w:p>
    <w:p>
      <w:r>
        <w:br w:type="page"/>
      </w:r>
    </w:p>
    <w:p>
      <w:pPr>
        <w:spacing w:after="80" w:before="0"/>
      </w:pPr>
      <w:r>
        <w:rPr>
          <w:rFonts w:ascii="Arial" w:cs="Arial" w:eastAsia="Arial" w:hAnsi="Arial"/>
          <w:b/>
          <w:bCs/>
          <w:caps/>
          <w:color w:val="B8962E"/>
          <w:sz w:val="16"/>
          <w:szCs w:val="16"/>
        </w:rPr>
        <w:t xml:space="preserve">ADDENDUM — FEASIBILITY REPORT</w:t>
      </w:r>
    </w:p>
    <w:p>
      <w:pPr>
        <w:pBdr>
          <w:bottom w:val="single" w:color="B8962E" w:sz="16" w:space="6"/>
        </w:pBdr>
        <w:spacing w:after="100" w:before="0"/>
      </w:pPr>
      <w:r>
        <w:rPr>
          <w:rFonts w:ascii="Arial" w:cs="Arial" w:eastAsia="Arial" w:hAnsi="Arial"/>
          <w:b/>
          <w:bCs/>
          <w:caps w:val="false"/>
          <w:color w:val="1A1A18"/>
          <w:sz w:val="30"/>
          <w:szCs w:val="30"/>
        </w:rPr>
        <w:t xml:space="preserve">Merge4Ward Fire Testing Laboratory
Feasibility Assessment — Mid-Atlantic ASTM E119 Facility</w:t>
      </w:r>
    </w:p>
    <w:p>
      <w:pPr>
        <w:spacing w:after="80" w:before="0"/>
        <w:jc w:val="left"/>
      </w:pPr>
      <w:r>
        <w:rPr>
          <w:rFonts w:ascii="Arial" w:cs="Arial" w:eastAsia="Arial" w:hAnsi="Arial"/>
          <w:b w:val="false"/>
          <w:bCs w:val="false"/>
          <w:caps w:val="false"/>
          <w:color w:val="1A1A1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CCCCCC" w:sz="4"/>
              <w:right w:val="none" w:color="FFFFFF" w:sz="0"/>
            </w:tcBorders>
            <w:tcMar>
              <w:top w:type="dxa" w:w="60"/>
              <w:left w:type="dxa" w:w="0"/>
              <w:bottom w:type="dxa" w:w="60"/>
              <w:right w:type="dxa" w:w="120"/>
            </w:tcMar>
          </w:tcPr>
          <w:p>
            <w:pPr>
              <w:spacing w:after="0" w:before="0"/>
              <w:jc w:val="left"/>
            </w:pPr>
            <w:r>
              <w:rPr>
                <w:rFonts w:ascii="Arial" w:cs="Arial" w:eastAsia="Arial" w:hAnsi="Arial"/>
                <w:b/>
                <w:bCs/>
                <w:caps w:val="false"/>
                <w:color w:val="B8962E"/>
                <w:sz w:val="18"/>
                <w:szCs w:val="18"/>
              </w:rPr>
              <w:t xml:space="preserve">Prepared by</w:t>
            </w:r>
          </w:p>
        </w:tc>
        <w:tc>
          <w:tcPr>
            <w:tcW w:type="dxa" w:w="7760"/>
            <w:tcBorders>
              <w:top w:val="none" w:color="FFFFFF" w:sz="0"/>
              <w:left w:val="none" w:color="FFFFFF" w:sz="0"/>
              <w:bottom w:val="single" w:color="CCCCCC" w:sz="4"/>
              <w:right w:val="none" w:color="FFFFFF" w:sz="0"/>
            </w:tcBorders>
            <w:tcMar>
              <w:top w:type="dxa" w:w="60"/>
              <w:left w:type="dxa" w:w="0"/>
              <w:bottom w:type="dxa" w:w="60"/>
              <w:right w:type="dxa" w:w="0"/>
            </w:tcMar>
          </w:tcPr>
          <w:p>
            <w:pPr>
              <w:spacing w:after="0" w:before="0"/>
              <w:jc w:val="left"/>
            </w:pPr>
            <w:r>
              <w:rPr>
                <w:rFonts w:ascii="Arial" w:cs="Arial" w:eastAsia="Arial" w:hAnsi="Arial"/>
                <w:b w:val="false"/>
                <w:bCs w:val="false"/>
                <w:caps w:val="false"/>
                <w:color w:val="1A1A18"/>
                <w:sz w:val="18"/>
                <w:szCs w:val="18"/>
              </w:rPr>
              <w:t xml:space="preserve">David Ainsworth — Merge4Ward / M4D</w:t>
            </w:r>
          </w:p>
        </w:tc>
      </w:tr>
      <w:tr>
        <w:tc>
          <w:tcPr>
            <w:tcW w:type="dxa" w:w="1600"/>
            <w:tcBorders>
              <w:top w:val="none" w:color="FFFFFF" w:sz="0"/>
              <w:left w:val="none" w:color="FFFFFF" w:sz="0"/>
              <w:bottom w:val="single" w:color="CCCCCC" w:sz="4"/>
              <w:right w:val="none" w:color="FFFFFF" w:sz="0"/>
            </w:tcBorders>
            <w:tcMar>
              <w:top w:type="dxa" w:w="60"/>
              <w:left w:type="dxa" w:w="0"/>
              <w:bottom w:type="dxa" w:w="60"/>
              <w:right w:type="dxa" w:w="120"/>
            </w:tcMar>
          </w:tcPr>
          <w:p>
            <w:pPr>
              <w:spacing w:after="0" w:before="0"/>
              <w:jc w:val="left"/>
            </w:pPr>
            <w:r>
              <w:rPr>
                <w:rFonts w:ascii="Arial" w:cs="Arial" w:eastAsia="Arial" w:hAnsi="Arial"/>
                <w:b/>
                <w:bCs/>
                <w:caps w:val="false"/>
                <w:color w:val="B8962E"/>
                <w:sz w:val="18"/>
                <w:szCs w:val="18"/>
              </w:rPr>
              <w:t xml:space="preserve">Date</w:t>
            </w:r>
          </w:p>
        </w:tc>
        <w:tc>
          <w:tcPr>
            <w:tcW w:type="dxa" w:w="7760"/>
            <w:tcBorders>
              <w:top w:val="none" w:color="FFFFFF" w:sz="0"/>
              <w:left w:val="none" w:color="FFFFFF" w:sz="0"/>
              <w:bottom w:val="single" w:color="CCCCCC" w:sz="4"/>
              <w:right w:val="none" w:color="FFFFFF" w:sz="0"/>
            </w:tcBorders>
            <w:tcMar>
              <w:top w:type="dxa" w:w="60"/>
              <w:left w:type="dxa" w:w="0"/>
              <w:bottom w:type="dxa" w:w="60"/>
              <w:right w:type="dxa" w:w="0"/>
            </w:tcMar>
          </w:tcPr>
          <w:p>
            <w:pPr>
              <w:spacing w:after="0" w:before="0"/>
              <w:jc w:val="left"/>
            </w:pPr>
            <w:r>
              <w:rPr>
                <w:rFonts w:ascii="Arial" w:cs="Arial" w:eastAsia="Arial" w:hAnsi="Arial"/>
                <w:b w:val="false"/>
                <w:bCs w:val="false"/>
                <w:caps w:val="false"/>
                <w:color w:val="1A1A18"/>
                <w:sz w:val="18"/>
                <w:szCs w:val="18"/>
              </w:rPr>
              <w:t xml:space="preserve">May 2026</w:t>
            </w:r>
          </w:p>
        </w:tc>
      </w:tr>
      <w:tr>
        <w:tc>
          <w:tcPr>
            <w:tcW w:type="dxa" w:w="1600"/>
            <w:tcBorders>
              <w:top w:val="none" w:color="FFFFFF" w:sz="0"/>
              <w:left w:val="none" w:color="FFFFFF" w:sz="0"/>
              <w:bottom w:val="single" w:color="CCCCCC" w:sz="4"/>
              <w:right w:val="none" w:color="FFFFFF" w:sz="0"/>
            </w:tcBorders>
            <w:tcMar>
              <w:top w:type="dxa" w:w="60"/>
              <w:left w:type="dxa" w:w="0"/>
              <w:bottom w:type="dxa" w:w="60"/>
              <w:right w:type="dxa" w:w="120"/>
            </w:tcMar>
          </w:tcPr>
          <w:p>
            <w:pPr>
              <w:spacing w:after="0" w:before="0"/>
              <w:jc w:val="left"/>
            </w:pPr>
            <w:r>
              <w:rPr>
                <w:rFonts w:ascii="Arial" w:cs="Arial" w:eastAsia="Arial" w:hAnsi="Arial"/>
                <w:b/>
                <w:bCs/>
                <w:caps w:val="false"/>
                <w:color w:val="B8962E"/>
                <w:sz w:val="18"/>
                <w:szCs w:val="18"/>
              </w:rPr>
              <w:t xml:space="preserve">Status</w:t>
            </w:r>
          </w:p>
        </w:tc>
        <w:tc>
          <w:tcPr>
            <w:tcW w:type="dxa" w:w="7760"/>
            <w:tcBorders>
              <w:top w:val="none" w:color="FFFFFF" w:sz="0"/>
              <w:left w:val="none" w:color="FFFFFF" w:sz="0"/>
              <w:bottom w:val="single" w:color="CCCCCC" w:sz="4"/>
              <w:right w:val="none" w:color="FFFFFF" w:sz="0"/>
            </w:tcBorders>
            <w:tcMar>
              <w:top w:type="dxa" w:w="60"/>
              <w:left w:type="dxa" w:w="0"/>
              <w:bottom w:type="dxa" w:w="60"/>
              <w:right w:type="dxa" w:w="0"/>
            </w:tcMar>
          </w:tcPr>
          <w:p>
            <w:pPr>
              <w:spacing w:after="0" w:before="0"/>
              <w:jc w:val="left"/>
            </w:pPr>
            <w:r>
              <w:rPr>
                <w:rFonts w:ascii="Arial" w:cs="Arial" w:eastAsia="Arial" w:hAnsi="Arial"/>
                <w:b w:val="false"/>
                <w:bCs w:val="false"/>
                <w:caps w:val="false"/>
                <w:color w:val="1A1A18"/>
                <w:sz w:val="18"/>
                <w:szCs w:val="18"/>
              </w:rPr>
              <w:t xml:space="preserve">Internal feasibility draft — for partner review</w:t>
            </w:r>
          </w:p>
        </w:tc>
      </w:tr>
      <w:tr>
        <w:tc>
          <w:tcPr>
            <w:tcW w:type="dxa" w:w="1600"/>
            <w:tcBorders>
              <w:top w:val="none" w:color="FFFFFF" w:sz="0"/>
              <w:left w:val="none" w:color="FFFFFF" w:sz="0"/>
              <w:bottom w:val="single" w:color="CCCCCC" w:sz="4"/>
              <w:right w:val="none" w:color="FFFFFF" w:sz="0"/>
            </w:tcBorders>
            <w:tcMar>
              <w:top w:type="dxa" w:w="60"/>
              <w:left w:type="dxa" w:w="0"/>
              <w:bottom w:type="dxa" w:w="60"/>
              <w:right w:type="dxa" w:w="120"/>
            </w:tcMar>
          </w:tcPr>
          <w:p>
            <w:pPr>
              <w:spacing w:after="0" w:before="0"/>
              <w:jc w:val="left"/>
            </w:pPr>
            <w:r>
              <w:rPr>
                <w:rFonts w:ascii="Arial" w:cs="Arial" w:eastAsia="Arial" w:hAnsi="Arial"/>
                <w:b/>
                <w:bCs/>
                <w:caps w:val="false"/>
                <w:color w:val="B8962E"/>
                <w:sz w:val="18"/>
                <w:szCs w:val="18"/>
              </w:rPr>
              <w:t xml:space="preserve">Addendum to</w:t>
            </w:r>
          </w:p>
        </w:tc>
        <w:tc>
          <w:tcPr>
            <w:tcW w:type="dxa" w:w="7760"/>
            <w:tcBorders>
              <w:top w:val="none" w:color="FFFFFF" w:sz="0"/>
              <w:left w:val="none" w:color="FFFFFF" w:sz="0"/>
              <w:bottom w:val="single" w:color="CCCCCC" w:sz="4"/>
              <w:right w:val="none" w:color="FFFFFF" w:sz="0"/>
            </w:tcBorders>
            <w:tcMar>
              <w:top w:type="dxa" w:w="60"/>
              <w:left w:type="dxa" w:w="0"/>
              <w:bottom w:type="dxa" w:w="60"/>
              <w:right w:type="dxa" w:w="0"/>
            </w:tcMar>
          </w:tcPr>
          <w:p>
            <w:pPr>
              <w:spacing w:after="0" w:before="0"/>
              <w:jc w:val="left"/>
            </w:pPr>
            <w:r>
              <w:rPr>
                <w:rFonts w:ascii="Arial" w:cs="Arial" w:eastAsia="Arial" w:hAnsi="Arial"/>
                <w:b w:val="false"/>
                <w:bCs w:val="false"/>
                <w:caps w:val="false"/>
                <w:color w:val="1A1A18"/>
                <w:sz w:val="18"/>
                <w:szCs w:val="18"/>
              </w:rPr>
              <w:t xml:space="preserve">Merge4Ward ZUBLIN Timber Strategic Memo (April 2026)</w:t>
            </w:r>
          </w:p>
        </w:tc>
      </w:tr>
      <w:tr>
        <w:tc>
          <w:tcPr>
            <w:tcW w:type="dxa" w:w="1600"/>
            <w:tcBorders>
              <w:top w:val="none" w:color="FFFFFF" w:sz="0"/>
              <w:left w:val="none" w:color="FFFFFF" w:sz="0"/>
              <w:bottom w:val="single" w:color="CCCCCC" w:sz="4"/>
              <w:right w:val="none" w:color="FFFFFF" w:sz="0"/>
            </w:tcBorders>
            <w:tcMar>
              <w:top w:type="dxa" w:w="60"/>
              <w:left w:type="dxa" w:w="0"/>
              <w:bottom w:type="dxa" w:w="60"/>
              <w:right w:type="dxa" w:w="120"/>
            </w:tcMar>
          </w:tcPr>
          <w:p>
            <w:pPr>
              <w:spacing w:after="0" w:before="0"/>
              <w:jc w:val="left"/>
            </w:pPr>
            <w:r>
              <w:rPr>
                <w:rFonts w:ascii="Arial" w:cs="Arial" w:eastAsia="Arial" w:hAnsi="Arial"/>
                <w:b/>
                <w:bCs/>
                <w:caps w:val="false"/>
                <w:color w:val="B8962E"/>
                <w:sz w:val="18"/>
                <w:szCs w:val="18"/>
              </w:rPr>
              <w:t xml:space="preserve">Phase Target</w:t>
            </w:r>
          </w:p>
        </w:tc>
        <w:tc>
          <w:tcPr>
            <w:tcW w:type="dxa" w:w="7760"/>
            <w:tcBorders>
              <w:top w:val="none" w:color="FFFFFF" w:sz="0"/>
              <w:left w:val="none" w:color="FFFFFF" w:sz="0"/>
              <w:bottom w:val="single" w:color="CCCCCC" w:sz="4"/>
              <w:right w:val="none" w:color="FFFFFF" w:sz="0"/>
            </w:tcBorders>
            <w:tcMar>
              <w:top w:type="dxa" w:w="60"/>
              <w:left w:type="dxa" w:w="0"/>
              <w:bottom w:type="dxa" w:w="60"/>
              <w:right w:type="dxa" w:w="0"/>
            </w:tcMar>
          </w:tcPr>
          <w:p>
            <w:pPr>
              <w:spacing w:after="0" w:before="0"/>
              <w:jc w:val="left"/>
            </w:pPr>
            <w:r>
              <w:rPr>
                <w:rFonts w:ascii="Arial" w:cs="Arial" w:eastAsia="Arial" w:hAnsi="Arial"/>
                <w:b w:val="false"/>
                <w:bCs w:val="false"/>
                <w:caps w:val="false"/>
                <w:color w:val="1A1A18"/>
                <w:sz w:val="18"/>
                <w:szCs w:val="18"/>
              </w:rPr>
              <w:t xml:space="preserve">Phase 2 initiative — feasibility study Year 1, capital planning Year 2, build-out Year 3-4</w:t>
            </w:r>
          </w:p>
        </w:tc>
      </w:tr>
    </w:tbl>
    <w:p>
      <w:pPr>
        <w:spacing w:after="160" w:before="0"/>
        <w:jc w:val="left"/>
      </w:pPr>
      <w:r>
        <w:rPr>
          <w:rFonts w:ascii="Arial" w:cs="Arial" w:eastAsia="Arial" w:hAnsi="Arial"/>
          <w:b w:val="false"/>
          <w:bCs w:val="false"/>
          <w:caps w:val="false"/>
          <w:color w:val="1A1A18"/>
          <w:sz w:val="20"/>
          <w:szCs w:val="20"/>
        </w:rPr>
        <w:t xml:space="preserve"/>
      </w:r>
    </w:p>
    <w:p>
      <w:pPr>
        <w:pBdr>
          <w:bottom w:val="single" w:color="196B23" w:sz="8" w:space="4"/>
        </w:pBdr>
        <w:spacing w:after="120" w:before="360"/>
      </w:pPr>
      <w:r>
        <w:rPr>
          <w:rFonts w:ascii="Arial" w:cs="Arial" w:eastAsia="Arial" w:hAnsi="Arial"/>
          <w:b/>
          <w:bCs/>
          <w:caps w:val="false"/>
          <w:color w:val="196B23"/>
          <w:sz w:val="28"/>
          <w:szCs w:val="28"/>
        </w:rPr>
        <w:t xml:space="preserve">A. Executive Summary</w:t>
      </w:r>
    </w:p>
    <w:p>
      <w:pPr>
        <w:spacing w:after="100" w:before="0"/>
        <w:jc w:val="left"/>
      </w:pPr>
      <w:r>
        <w:rPr>
          <w:rFonts w:ascii="Arial" w:cs="Arial" w:eastAsia="Arial" w:hAnsi="Arial"/>
          <w:b w:val="false"/>
          <w:bCs w:val="false"/>
          <w:caps w:val="false"/>
          <w:color w:val="1A1A18"/>
          <w:sz w:val="19"/>
          <w:szCs w:val="19"/>
        </w:rPr>
        <w:t xml:space="preserve">The Merge4Ward campus in northern Delaware is a viable site for a mid-Atlantic ASTM E119-accredited fire testing laboratory. No such facility currently exists in Delaware, Maryland, or southern New Jersey. The nearest full-service vertical assembly fire test lab is in York, PA; the next nearest are in Georgia, Texas, and the Pacific Northwest. This geographic gap represents a genuine market opportunity.</w:t>
      </w:r>
    </w:p>
    <w:p>
      <w:pPr>
        <w:spacing w:after="80" w:before="0"/>
        <w:jc w:val="left"/>
      </w:pPr>
      <w:r>
        <w:rPr>
          <w:rFonts w:ascii="Arial" w:cs="Arial" w:eastAsia="Arial" w:hAnsi="Arial"/>
          <w:b w:val="false"/>
          <w:bCs w:val="false"/>
          <w:caps w:val="false"/>
          <w:color w:val="1A1A18"/>
          <w:sz w:val="20"/>
          <w:szCs w:val="20"/>
        </w:rPr>
        <w:t xml:space="preserve"/>
      </w:r>
    </w:p>
    <w:p>
      <w:pPr>
        <w:spacing w:after="100" w:before="0"/>
        <w:jc w:val="left"/>
      </w:pPr>
      <w:r>
        <w:rPr>
          <w:rFonts w:ascii="Arial" w:cs="Arial" w:eastAsia="Arial" w:hAnsi="Arial"/>
          <w:b w:val="false"/>
          <w:bCs w:val="false"/>
          <w:caps w:val="false"/>
          <w:color w:val="1A1A18"/>
          <w:sz w:val="19"/>
          <w:szCs w:val="19"/>
        </w:rPr>
        <w:t xml:space="preserve">A Merge4Ward fire testing laboratory serves three simultaneous strategic purposes: (1) it provides in-house testing capacity for the MgO Hybrid SIP panel and future Merge4Ward proprietary products, eliminating the cost and lead time of third-party testing as the product line scales; (2) it generates third-party revenue by serving the broader Mid-Atlantic building materials manufacturing market; and (3) it strengthens the grant and policy narrative for Merge4Ward and M4Di as a community-anchored innovation infrastructure provider — not just a manufacturer.</w:t>
      </w:r>
    </w:p>
    <w:p>
      <w:pPr>
        <w:spacing w:after="80" w:before="0"/>
        <w:jc w:val="left"/>
      </w:pPr>
      <w:r>
        <w:rPr>
          <w:rFonts w:ascii="Arial" w:cs="Arial" w:eastAsia="Arial" w:hAnsi="Arial"/>
          <w:b w:val="false"/>
          <w:bCs w:val="false"/>
          <w:caps w:val="false"/>
          <w:color w:val="1A1A18"/>
          <w:sz w:val="20"/>
          <w:szCs w:val="20"/>
        </w:rPr>
        <w:t xml:space="preserve"/>
      </w:r>
    </w:p>
    <w:p>
      <w:pPr>
        <w:pBdr>
          <w:left w:val="single" w:color="B8962E" w:sz="16" w:space="8"/>
        </w:pBdr>
        <w:shd w:fill="FDF8EE" w:val="clear"/>
        <w:spacing w:after="120" w:before="120"/>
        <w:ind w:left="180"/>
      </w:pPr>
      <w:r>
        <w:rPr>
          <w:rFonts w:ascii="Arial" w:cs="Arial" w:eastAsia="Arial" w:hAnsi="Arial"/>
          <w:b w:val="false"/>
          <w:bCs w:val="false"/>
          <w:caps w:val="false"/>
          <w:color w:val="1A1A18"/>
          <w:sz w:val="19"/>
          <w:szCs w:val="19"/>
        </w:rPr>
        <w:t xml:space="preserve">The fire testing lab is not a Year 1 initiative. It is a Phase 2 capital commitment, correctly sequenced after the MgO SIP panel product development and ESR process demonstrates the demand. The Phase 1 move is a feasibility study and site planning exercise — both of which cost essentially nothing and position the lab correctly in the Merge4Ward capital plan.</w:t>
      </w:r>
    </w:p>
    <w:p>
      <w:pPr>
        <w:spacing w:after="160" w:before="0"/>
        <w:jc w:val="left"/>
      </w:pPr>
      <w:r>
        <w:rPr>
          <w:rFonts w:ascii="Arial" w:cs="Arial" w:eastAsia="Arial" w:hAnsi="Arial"/>
          <w:b w:val="false"/>
          <w:bCs w:val="false"/>
          <w:caps w:val="false"/>
          <w:color w:val="1A1A18"/>
          <w:sz w:val="20"/>
          <w:szCs w:val="20"/>
        </w:rPr>
        <w:t xml:space="preserve"/>
      </w:r>
    </w:p>
    <w:p>
      <w:pPr>
        <w:pBdr>
          <w:bottom w:val="single" w:color="196B23" w:sz="8" w:space="4"/>
        </w:pBdr>
        <w:spacing w:after="120" w:before="360"/>
      </w:pPr>
      <w:r>
        <w:rPr>
          <w:rFonts w:ascii="Arial" w:cs="Arial" w:eastAsia="Arial" w:hAnsi="Arial"/>
          <w:b/>
          <w:bCs/>
          <w:caps w:val="false"/>
          <w:color w:val="196B23"/>
          <w:sz w:val="28"/>
          <w:szCs w:val="28"/>
        </w:rPr>
        <w:t xml:space="preserve">B. Market Gap Analysis — Why Delaware</w:t>
      </w:r>
    </w:p>
    <w:p>
      <w:pPr>
        <w:spacing w:after="80" w:before="280"/>
      </w:pPr>
      <w:r>
        <w:rPr>
          <w:rFonts w:ascii="Arial" w:cs="Arial" w:eastAsia="Arial" w:hAnsi="Arial"/>
          <w:b/>
          <w:bCs/>
          <w:caps w:val="false"/>
          <w:color w:val="1A1A18"/>
          <w:sz w:val="22"/>
          <w:szCs w:val="22"/>
        </w:rPr>
        <w:t xml:space="preserve">B.1  Existing lab landscape — Mid-Atlantic</w:t>
      </w:r>
    </w:p>
    <w:p>
      <w:pPr>
        <w:spacing w:after="100" w:before="0"/>
        <w:jc w:val="left"/>
      </w:pPr>
      <w:r>
        <w:rPr>
          <w:rFonts w:ascii="Arial" w:cs="Arial" w:eastAsia="Arial" w:hAnsi="Arial"/>
          <w:b w:val="false"/>
          <w:bCs w:val="false"/>
          <w:caps w:val="false"/>
          <w:color w:val="1A1A18"/>
          <w:sz w:val="19"/>
          <w:szCs w:val="19"/>
        </w:rPr>
        <w:t xml:space="preserve">The following represents the current accredited ASTM E119 testing laboratory landscape within 250 miles of Wilmington, Delaware:</w:t>
      </w:r>
    </w:p>
    <w:p>
      <w:pPr>
        <w:spacing w:after="80" w:before="0"/>
        <w:jc w:val="left"/>
      </w:pPr>
      <w:r>
        <w:rPr>
          <w:rFonts w:ascii="Arial" w:cs="Arial" w:eastAsia="Arial" w:hAnsi="Arial"/>
          <w:b w:val="false"/>
          <w:bCs w:val="false"/>
          <w:caps w:val="false"/>
          <w:color w:val="1A1A1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600"/>
        <w:gridCol w:w="1800"/>
        <w:gridCol w:w="2960"/>
      </w:tblGrid>
      <w:tr>
        <w:trPr>
          <w:tblHeader/>
        </w:trPr>
        <w:tc>
          <w:tcPr>
            <w:tcW w:type="dxa" w:w="22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Lab / Location</w:t>
            </w:r>
          </w:p>
        </w:tc>
        <w:tc>
          <w:tcPr>
            <w:tcW w:type="dxa" w:w="8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Distance</w:t>
            </w:r>
          </w:p>
        </w:tc>
        <w:tc>
          <w:tcPr>
            <w:tcW w:type="dxa" w:w="16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E119 Scope</w:t>
            </w:r>
          </w:p>
        </w:tc>
        <w:tc>
          <w:tcPr>
            <w:tcW w:type="dxa" w:w="18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Status</w:t>
            </w:r>
          </w:p>
        </w:tc>
        <w:tc>
          <w:tcPr>
            <w:tcW w:type="dxa" w:w="296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Relevance to Merge4Ward</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Intertek — York, PA</w:t>
            </w:r>
          </w:p>
        </w:tc>
        <w:tc>
          <w:tcPr>
            <w:tcW w:type="dxa" w:w="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~90 mi</w:t>
            </w:r>
          </w:p>
        </w:tc>
        <w:tc>
          <w:tcPr>
            <w:tcW w:type="dxa" w:w="1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Vertical walls only</w:t>
            </w:r>
          </w:p>
        </w:tc>
        <w:tc>
          <w:tcPr>
            <w:tcW w:type="dxa" w:w="1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Full-service, accredited</w:t>
            </w:r>
          </w:p>
        </w:tc>
        <w:tc>
          <w:tcPr>
            <w:tcW w:type="dxa" w:w="29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Closest existing option</w:t>
            </w:r>
          </w:p>
        </w:tc>
      </w:tr>
      <w:tr>
        <w:tc>
          <w:tcPr>
            <w:tcW w:type="dxa" w:w="2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Intertek — Middleton, WI</w:t>
            </w:r>
          </w:p>
        </w:tc>
        <w:tc>
          <w:tcPr>
            <w:tcW w:type="dxa" w:w="8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~750 mi</w:t>
            </w:r>
          </w:p>
        </w:tc>
        <w:tc>
          <w:tcPr>
            <w:tcW w:type="dxa" w:w="16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Vertical walls only</w:t>
            </w:r>
          </w:p>
        </w:tc>
        <w:tc>
          <w:tcPr>
            <w:tcW w:type="dxa" w:w="18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Full-service, accredited</w:t>
            </w:r>
          </w:p>
        </w:tc>
        <w:tc>
          <w:tcPr>
            <w:tcW w:type="dxa" w:w="29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Not a practical option</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NGC Testing — Dalton, GA</w:t>
            </w:r>
          </w:p>
        </w:tc>
        <w:tc>
          <w:tcPr>
            <w:tcW w:type="dxa" w:w="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~800 mi</w:t>
            </w:r>
          </w:p>
        </w:tc>
        <w:tc>
          <w:tcPr>
            <w:tcW w:type="dxa" w:w="1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Full vertical + horizontal</w:t>
            </w:r>
          </w:p>
        </w:tc>
        <w:tc>
          <w:tcPr>
            <w:tcW w:type="dxa" w:w="1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Full-service, accredited</w:t>
            </w:r>
          </w:p>
        </w:tc>
        <w:tc>
          <w:tcPr>
            <w:tcW w:type="dxa" w:w="29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Primary national provider — too far</w:t>
            </w:r>
          </w:p>
        </w:tc>
      </w:tr>
      <w:tr>
        <w:tc>
          <w:tcPr>
            <w:tcW w:type="dxa" w:w="2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Southwest Research — San Antonio, TX</w:t>
            </w:r>
          </w:p>
        </w:tc>
        <w:tc>
          <w:tcPr>
            <w:tcW w:type="dxa" w:w="8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~1,500 mi</w:t>
            </w:r>
          </w:p>
        </w:tc>
        <w:tc>
          <w:tcPr>
            <w:tcW w:type="dxa" w:w="16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Full vertical + horizontal</w:t>
            </w:r>
          </w:p>
        </w:tc>
        <w:tc>
          <w:tcPr>
            <w:tcW w:type="dxa" w:w="18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Full-service, accredited</w:t>
            </w:r>
          </w:p>
        </w:tc>
        <w:tc>
          <w:tcPr>
            <w:tcW w:type="dxa" w:w="29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Major national lab — not relevant for Mid-Atlantic</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Western Fire Center — Kelowna, BC</w:t>
            </w:r>
          </w:p>
        </w:tc>
        <w:tc>
          <w:tcPr>
            <w:tcW w:type="dxa" w:w="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~2,600 mi</w:t>
            </w:r>
          </w:p>
        </w:tc>
        <w:tc>
          <w:tcPr>
            <w:tcW w:type="dxa" w:w="1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Full vertical + horizontal</w:t>
            </w:r>
          </w:p>
        </w:tc>
        <w:tc>
          <w:tcPr>
            <w:tcW w:type="dxa" w:w="1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Full-service, accredited</w:t>
            </w:r>
          </w:p>
        </w:tc>
        <w:tc>
          <w:tcPr>
            <w:tcW w:type="dxa" w:w="29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Established relationship; used for CLT testing</w:t>
            </w:r>
          </w:p>
        </w:tc>
      </w:tr>
      <w:tr>
        <w:tc>
          <w:tcPr>
            <w:tcW w:type="dxa" w:w="2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VTEC Labs — Bronx, NY</w:t>
            </w:r>
          </w:p>
        </w:tc>
        <w:tc>
          <w:tcPr>
            <w:tcW w:type="dxa" w:w="8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~110 mi</w:t>
            </w:r>
          </w:p>
        </w:tc>
        <w:tc>
          <w:tcPr>
            <w:tcW w:type="dxa" w:w="16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Limited scope</w:t>
            </w:r>
          </w:p>
        </w:tc>
        <w:tc>
          <w:tcPr>
            <w:tcW w:type="dxa" w:w="18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Partial accreditation</w:t>
            </w:r>
          </w:p>
        </w:tc>
        <w:tc>
          <w:tcPr>
            <w:tcW w:type="dxa" w:w="29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Small-scale only; not full E119 wall assemblies</w:t>
            </w:r>
          </w:p>
        </w:tc>
      </w:tr>
    </w:tbl>
    <w:p>
      <w:pPr>
        <w:spacing w:after="80" w:before="0"/>
        <w:jc w:val="left"/>
      </w:pPr>
      <w:r>
        <w:rPr>
          <w:rFonts w:ascii="Arial" w:cs="Arial" w:eastAsia="Arial" w:hAnsi="Arial"/>
          <w:b w:val="false"/>
          <w:bCs w:val="false"/>
          <w:caps w:val="false"/>
          <w:color w:val="1A1A18"/>
          <w:sz w:val="20"/>
          <w:szCs w:val="20"/>
        </w:rPr>
        <w:t xml:space="preserve"/>
      </w:r>
    </w:p>
    <w:p>
      <w:pPr>
        <w:pBdr>
          <w:left w:val="single" w:color="B8962E" w:sz="16" w:space="8"/>
        </w:pBdr>
        <w:shd w:fill="FDF8EE" w:val="clear"/>
        <w:spacing w:after="120" w:before="120"/>
        <w:ind w:left="180"/>
      </w:pPr>
      <w:r>
        <w:rPr>
          <w:rFonts w:ascii="Arial" w:cs="Arial" w:eastAsia="Arial" w:hAnsi="Arial"/>
          <w:b w:val="false"/>
          <w:bCs w:val="false"/>
          <w:caps w:val="false"/>
          <w:color w:val="1A1A18"/>
          <w:sz w:val="19"/>
          <w:szCs w:val="19"/>
        </w:rPr>
        <w:t xml:space="preserve">Conclusion: There is no full-service ASTM E119-accredited building assembly fire test lab within 100 miles of Wilmington, Delaware. The nearest practical option for wall assembly testing is York, PA — and York cannot accommodate full-scale horizontal (floor/roof) assemblies. A Delaware facility would be the only full-service lab between the New York metro and Georgia for the Mid-Atlantic corridor.</w:t>
      </w:r>
    </w:p>
    <w:p>
      <w:pPr>
        <w:spacing w:after="80" w:before="0"/>
        <w:jc w:val="left"/>
      </w:pPr>
      <w:r>
        <w:rPr>
          <w:rFonts w:ascii="Arial" w:cs="Arial" w:eastAsia="Arial" w:hAnsi="Arial"/>
          <w:b w:val="false"/>
          <w:bCs w:val="false"/>
          <w:caps w:val="false"/>
          <w:color w:val="1A1A18"/>
          <w:sz w:val="20"/>
          <w:szCs w:val="20"/>
        </w:rPr>
        <w:t xml:space="preserve"/>
      </w:r>
    </w:p>
    <w:p>
      <w:pPr>
        <w:spacing w:after="80" w:before="280"/>
      </w:pPr>
      <w:r>
        <w:rPr>
          <w:rFonts w:ascii="Arial" w:cs="Arial" w:eastAsia="Arial" w:hAnsi="Arial"/>
          <w:b/>
          <w:bCs/>
          <w:caps w:val="false"/>
          <w:color w:val="1A1A18"/>
          <w:sz w:val="22"/>
          <w:szCs w:val="22"/>
        </w:rPr>
        <w:t xml:space="preserve">B.2  Market demand drivers</w:t>
      </w:r>
    </w:p>
    <w:p>
      <w:pPr>
        <w:spacing w:after="100" w:before="0"/>
        <w:jc w:val="left"/>
      </w:pPr>
      <w:r>
        <w:rPr>
          <w:rFonts w:ascii="Arial" w:cs="Arial" w:eastAsia="Arial" w:hAnsi="Arial"/>
          <w:b w:val="false"/>
          <w:bCs w:val="false"/>
          <w:caps w:val="false"/>
          <w:color w:val="1A1A18"/>
          <w:sz w:val="19"/>
          <w:szCs w:val="19"/>
        </w:rPr>
        <w:t xml:space="preserve">The following trends are increasing demand for Mid-Atlantic fire testing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Driver</w:t>
            </w:r>
          </w:p>
        </w:tc>
        <w:tc>
          <w:tcPr>
            <w:tcW w:type="dxa" w:w="476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Explanation</w:t>
            </w:r>
          </w:p>
        </w:tc>
        <w:tc>
          <w:tcPr>
            <w:tcW w:type="dxa" w:w="22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Relevance</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IBC 2021 mass timber adoption</w:t>
            </w:r>
          </w:p>
        </w:tc>
        <w:tc>
          <w:tcPr>
            <w:tcW w:type="dxa" w:w="4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DE, MD, PA, NJ all on IBC 2021 adoption timelines. Types IV-A, IV-B, IV-C allow mass timber to 18 stories. Each new project type requires new tested assemblies.</w:t>
            </w:r>
          </w:p>
        </w:tc>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High — direct Merge4Ward market</w:t>
            </w:r>
          </w:p>
        </w:tc>
      </w:tr>
      <w:tr>
        <w:tc>
          <w:tcPr>
            <w:tcW w:type="dxa" w:w="24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MgO panel market growth</w:t>
            </w:r>
          </w:p>
        </w:tc>
        <w:tc>
          <w:tcPr>
            <w:tcW w:type="dxa" w:w="47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Multiple MgO SIP manufacturers pursuing ICC-ES ESR listings for multifamily fire-rated assemblies. All require ASTM E119 testing. None have a Mid-Atlantic lab option.</w:t>
            </w:r>
          </w:p>
        </w:tc>
        <w:tc>
          <w:tcPr>
            <w:tcW w:type="dxa" w:w="2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High — direct Merge4Ward product</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SIP industry expansion</w:t>
            </w:r>
          </w:p>
        </w:tc>
        <w:tc>
          <w:tcPr>
            <w:tcW w:type="dxa" w:w="4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SIP manufacturers serving the Mid-Atlantic residential market currently ship test specimens to York PA or farther. A local lab captures freight cost and turnaround time advantage.</w:t>
            </w:r>
          </w:p>
        </w:tc>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Medium-High</w:t>
            </w:r>
          </w:p>
        </w:tc>
      </w:tr>
      <w:tr>
        <w:tc>
          <w:tcPr>
            <w:tcW w:type="dxa" w:w="24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Affordable housing construction surge</w:t>
            </w:r>
          </w:p>
        </w:tc>
        <w:tc>
          <w:tcPr>
            <w:tcW w:type="dxa" w:w="47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DE, MD, NJ, PA state housing finance agencies are funding affordable housing at record rates. LIHTC projects require fire-rated assemblies. Developer pressure to reduce permitting time makes fast local testing valuable.</w:t>
            </w:r>
          </w:p>
        </w:tc>
        <w:tc>
          <w:tcPr>
            <w:tcW w:type="dxa" w:w="2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High — M4Di client base</w:t>
            </w:r>
          </w:p>
        </w:tc>
      </w:tr>
      <w:tr>
        <w:tc>
          <w:tcPr>
            <w:tcW w:type="dxa" w:w="24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CLT/mass timber residential growth</w:t>
            </w:r>
          </w:p>
        </w:tc>
        <w:tc>
          <w:tcPr>
            <w:tcW w:type="dxa" w:w="4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Post-IBC 2021 adoption, CLT residential projects will require ongoing fire assembly testing for novel configurations. A lab with CLT-specific expertise is a competitive differentiator.</w:t>
            </w:r>
          </w:p>
        </w:tc>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High — Merge4Ward core</w:t>
            </w:r>
          </w:p>
        </w:tc>
      </w:tr>
    </w:tbl>
    <w:p>
      <w:pPr>
        <w:spacing w:after="80" w:before="0"/>
        <w:jc w:val="left"/>
      </w:pPr>
      <w:r>
        <w:rPr>
          <w:rFonts w:ascii="Arial" w:cs="Arial" w:eastAsia="Arial" w:hAnsi="Arial"/>
          <w:b w:val="false"/>
          <w:bCs w:val="false"/>
          <w:caps w:val="false"/>
          <w:color w:val="1A1A18"/>
          <w:sz w:val="20"/>
          <w:szCs w:val="20"/>
        </w:rPr>
        <w:t xml:space="preserve"/>
      </w:r>
    </w:p>
    <w:p>
      <w:pPr>
        <w:spacing w:after="80" w:before="280"/>
      </w:pPr>
      <w:r>
        <w:rPr>
          <w:rFonts w:ascii="Arial" w:cs="Arial" w:eastAsia="Arial" w:hAnsi="Arial"/>
          <w:b/>
          <w:bCs/>
          <w:caps w:val="false"/>
          <w:color w:val="1A1A18"/>
          <w:sz w:val="22"/>
          <w:szCs w:val="22"/>
        </w:rPr>
        <w:t xml:space="preserve">B.3  Delaware location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Advantage</w:t>
            </w:r>
          </w:p>
        </w:tc>
        <w:tc>
          <w:tcPr>
            <w:tcW w:type="dxa" w:w="716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Description</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Geographic position</w:t>
            </w:r>
          </w:p>
        </w:tc>
        <w:tc>
          <w:tcPr>
            <w:tcW w:type="dxa" w:w="7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Wilmington / northern Delaware sits within 2 hours of Philadelphia, Baltimore, Washington DC, and the NJ manufacturing corridor — the highest-density building materials manufacturing cluster on the East Coast outside New York.</w:t>
            </w:r>
          </w:p>
        </w:tc>
      </w:tr>
      <w:tr>
        <w:tc>
          <w:tcPr>
            <w:tcW w:type="dxa" w:w="2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No state corporate income tax</w:t>
            </w:r>
          </w:p>
        </w:tc>
        <w:tc>
          <w:tcPr>
            <w:tcW w:type="dxa" w:w="71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Delaware charges no corporate income tax on goods manufactured in-state and sold outside Delaware. Testing services revenue from out-of-state clients may benefit from this structure — confirm with entity-formation attorney.</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No state sales tax</w:t>
            </w:r>
          </w:p>
        </w:tc>
        <w:tc>
          <w:tcPr>
            <w:tcW w:type="dxa" w:w="7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No sales tax on equipment purchases, reducing capital cost of furnace and instrumentation acquisition.</w:t>
            </w:r>
          </w:p>
        </w:tc>
      </w:tr>
      <w:tr>
        <w:tc>
          <w:tcPr>
            <w:tcW w:type="dxa" w:w="2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DEDO Strategic Fund eligibility</w:t>
            </w:r>
          </w:p>
        </w:tc>
        <w:tc>
          <w:tcPr>
            <w:tcW w:type="dxa" w:w="71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A fire testing laboratory creating 10+ jobs at $45K+ wages qualifies for DEDO Strategic Fund grants and low-interest loans. Same program already being pursued for Merge4Ward manufacturing.</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Port-adjacent land availability</w:t>
            </w:r>
          </w:p>
        </w:tc>
        <w:tc>
          <w:tcPr>
            <w:tcW w:type="dxa" w:w="7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The Port of Wilmington adjacent parcels identified in the OED conversation include industrial-zoned land with heavy electrical service, natural gas access, and high-bay building potential — all prerequisites for fire testing infrastructure.</w:t>
            </w:r>
          </w:p>
        </w:tc>
      </w:tr>
      <w:tr>
        <w:tc>
          <w:tcPr>
            <w:tcW w:type="dxa" w:w="2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University of Delaware partnership</w:t>
            </w:r>
          </w:p>
        </w:tc>
        <w:tc>
          <w:tcPr>
            <w:tcW w:type="dxa" w:w="71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UD has Materials Science and Civil Engineering programs. A Merge4Ward testing lab is a legitimate research partnership target, unlocking DOE Building Technologies Office and NSF grant channels unavailable to a standalone manufacturer.</w:t>
            </w:r>
          </w:p>
        </w:tc>
      </w:tr>
      <w:tr>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ASTM International proximity</w:t>
            </w:r>
          </w:p>
        </w:tc>
        <w:tc>
          <w:tcPr>
            <w:tcW w:type="dxa" w:w="71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ASTM International headquarters is in West Conshohocken, PA — 25 miles from Wilmington. Geographic proximity to the standards body is not operationally required but creates networking and engagement opportunities worth noting.</w:t>
            </w:r>
          </w:p>
        </w:tc>
      </w:tr>
    </w:tbl>
    <w:p>
      <w:pPr>
        <w:spacing w:after="160" w:before="0"/>
        <w:jc w:val="left"/>
      </w:pPr>
      <w:r>
        <w:rPr>
          <w:rFonts w:ascii="Arial" w:cs="Arial" w:eastAsia="Arial" w:hAnsi="Arial"/>
          <w:b w:val="false"/>
          <w:bCs w:val="false"/>
          <w:caps w:val="false"/>
          <w:color w:val="1A1A18"/>
          <w:sz w:val="20"/>
          <w:szCs w:val="20"/>
        </w:rPr>
        <w:t xml:space="preserve"/>
      </w:r>
    </w:p>
    <w:p>
      <w:pPr>
        <w:pBdr>
          <w:bottom w:val="single" w:color="196B23" w:sz="8" w:space="4"/>
        </w:pBdr>
        <w:spacing w:after="120" w:before="360"/>
      </w:pPr>
      <w:r>
        <w:rPr>
          <w:rFonts w:ascii="Arial" w:cs="Arial" w:eastAsia="Arial" w:hAnsi="Arial"/>
          <w:b/>
          <w:bCs/>
          <w:caps w:val="false"/>
          <w:color w:val="196B23"/>
          <w:sz w:val="28"/>
          <w:szCs w:val="28"/>
        </w:rPr>
        <w:t xml:space="preserve">C. Technical Requirements — What Becoming Accredited Requires</w:t>
      </w:r>
    </w:p>
    <w:p>
      <w:pPr>
        <w:spacing w:after="80" w:before="280"/>
      </w:pPr>
      <w:r>
        <w:rPr>
          <w:rFonts w:ascii="Arial" w:cs="Arial" w:eastAsia="Arial" w:hAnsi="Arial"/>
          <w:b/>
          <w:bCs/>
          <w:caps w:val="false"/>
          <w:color w:val="1A1A18"/>
          <w:sz w:val="22"/>
          <w:szCs w:val="22"/>
        </w:rPr>
        <w:t xml:space="preserve">C.1  Accreditation pathway</w:t>
      </w:r>
    </w:p>
    <w:p>
      <w:pPr>
        <w:spacing w:after="100" w:before="0"/>
        <w:jc w:val="left"/>
      </w:pPr>
      <w:r>
        <w:rPr>
          <w:rFonts w:ascii="Arial" w:cs="Arial" w:eastAsia="Arial" w:hAnsi="Arial"/>
          <w:b w:val="false"/>
          <w:bCs w:val="false"/>
          <w:caps w:val="false"/>
          <w:color w:val="1A1A18"/>
          <w:sz w:val="19"/>
          <w:szCs w:val="19"/>
        </w:rPr>
        <w:t xml:space="preserve">Becoming an ASTM E119-accredited testing laboratory requires satisfying three independent requirement layers:</w:t>
      </w:r>
    </w:p>
    <w:p>
      <w:pPr>
        <w:spacing w:after="80" w:before="0"/>
        <w:jc w:val="left"/>
      </w:pPr>
      <w:r>
        <w:rPr>
          <w:rFonts w:ascii="Arial" w:cs="Arial" w:eastAsia="Arial" w:hAnsi="Arial"/>
          <w:b w:val="false"/>
          <w:bCs w:val="false"/>
          <w:caps w:val="false"/>
          <w:color w:val="1A1A1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2200"/>
        <w:gridCol w:w="2500"/>
        <w:gridCol w:w="2360"/>
      </w:tblGrid>
      <w:tr>
        <w:trPr>
          <w:tblHeader/>
        </w:trPr>
        <w:tc>
          <w:tcPr>
            <w:tcW w:type="dxa" w:w="3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Layer</w:t>
            </w:r>
          </w:p>
        </w:tc>
        <w:tc>
          <w:tcPr>
            <w:tcW w:type="dxa" w:w="20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Requirement</w:t>
            </w:r>
          </w:p>
        </w:tc>
        <w:tc>
          <w:tcPr>
            <w:tcW w:type="dxa" w:w="22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Issuing Body / Standard</w:t>
            </w:r>
          </w:p>
        </w:tc>
        <w:tc>
          <w:tcPr>
            <w:tcW w:type="dxa" w:w="25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Timeline + Cost</w:t>
            </w:r>
          </w:p>
        </w:tc>
        <w:tc>
          <w:tcPr>
            <w:tcW w:type="dxa" w:w="236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Notes</w:t>
            </w:r>
          </w:p>
        </w:tc>
      </w:tr>
      <w:tr>
        <w:tc>
          <w:tcPr>
            <w:tcW w:type="dxa" w:w="3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ISO/IEC 17025 Accreditation</w:t>
            </w:r>
          </w:p>
        </w:tc>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International Accreditation Service (IAS) or equivalent body</w:t>
            </w:r>
          </w:p>
        </w:tc>
        <w:tc>
          <w:tcPr>
            <w:tcW w:type="dxa" w:w="25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6–12 months preparation + assessment; $15K–$30K fees + annual surveillance costs</w:t>
            </w:r>
          </w:p>
        </w:tc>
        <w:tc>
          <w:tcPr>
            <w:tcW w:type="dxa" w:w="2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Foundation requirement — must be in place before any test reports can be issued to clients</w:t>
            </w:r>
          </w:p>
        </w:tc>
      </w:tr>
      <w:tr>
        <w:tc>
          <w:tcPr>
            <w:tcW w:type="dxa" w:w="3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2</w:t>
            </w:r>
          </w:p>
        </w:tc>
        <w:tc>
          <w:tcPr>
            <w:tcW w:type="dxa" w:w="20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Physical Furnace Infrastructure</w:t>
            </w:r>
          </w:p>
        </w:tc>
        <w:tc>
          <w:tcPr>
            <w:tcW w:type="dxa" w:w="2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Designed and built to ASTM E119 furnace specifications; calibrated and commissioned</w:t>
            </w:r>
          </w:p>
        </w:tc>
        <w:tc>
          <w:tcPr>
            <w:tcW w:type="dxa" w:w="25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12–24 months design + construction; $400K–$6M depending on scale (see C.2)</w:t>
            </w:r>
          </w:p>
        </w:tc>
        <w:tc>
          <w:tcPr>
            <w:tcW w:type="dxa" w:w="23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The capital constraint — this is the primary feasibility variable</w:t>
            </w:r>
          </w:p>
        </w:tc>
      </w:tr>
      <w:tr>
        <w:tc>
          <w:tcPr>
            <w:tcW w:type="dxa" w:w="3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Qualified Technical Staff</w:t>
            </w:r>
          </w:p>
        </w:tc>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Minimum one fire test engineer; documented QMS; calibrated instrumentation; data acquisition system</w:t>
            </w:r>
          </w:p>
        </w:tc>
        <w:tc>
          <w:tcPr>
            <w:tcW w:type="dxa" w:w="25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Hire + training 3–6 months concurrent with furnace build; $120K–$180K/yr staff cost</w:t>
            </w:r>
          </w:p>
        </w:tc>
        <w:tc>
          <w:tcPr>
            <w:tcW w:type="dxa" w:w="2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Operational requirement — can be phased in parallel with furnace build</w:t>
            </w:r>
          </w:p>
        </w:tc>
      </w:tr>
    </w:tbl>
    <w:p>
      <w:pPr>
        <w:spacing w:after="80" w:before="0"/>
        <w:jc w:val="left"/>
      </w:pPr>
      <w:r>
        <w:rPr>
          <w:rFonts w:ascii="Arial" w:cs="Arial" w:eastAsia="Arial" w:hAnsi="Arial"/>
          <w:b w:val="false"/>
          <w:bCs w:val="false"/>
          <w:caps w:val="false"/>
          <w:color w:val="1A1A18"/>
          <w:sz w:val="20"/>
          <w:szCs w:val="20"/>
        </w:rPr>
        <w:t xml:space="preserve"/>
      </w:r>
    </w:p>
    <w:p>
      <w:pPr>
        <w:spacing w:after="80" w:before="280"/>
      </w:pPr>
      <w:r>
        <w:rPr>
          <w:rFonts w:ascii="Arial" w:cs="Arial" w:eastAsia="Arial" w:hAnsi="Arial"/>
          <w:b/>
          <w:bCs/>
          <w:caps w:val="false"/>
          <w:color w:val="1A1A18"/>
          <w:sz w:val="22"/>
          <w:szCs w:val="22"/>
        </w:rPr>
        <w:t xml:space="preserve">C.2  Furnace specifications and capital cost by phase</w:t>
      </w:r>
    </w:p>
    <w:p>
      <w:pPr>
        <w:spacing w:after="100" w:before="0"/>
        <w:jc w:val="left"/>
      </w:pPr>
      <w:r>
        <w:rPr>
          <w:rFonts w:ascii="Arial" w:cs="Arial" w:eastAsia="Arial" w:hAnsi="Arial"/>
          <w:b w:val="false"/>
          <w:bCs w:val="false"/>
          <w:caps w:val="false"/>
          <w:color w:val="1A1A18"/>
          <w:sz w:val="19"/>
          <w:szCs w:val="19"/>
        </w:rPr>
        <w:t xml:space="preserve">ASTM E119 testing requires different furnace configurations for different assembly types. The Merge4Ward lab should be planned in phases aligned with the product testing priorities:</w:t>
      </w:r>
    </w:p>
    <w:p>
      <w:pPr>
        <w:spacing w:after="80" w:before="0"/>
        <w:jc w:val="left"/>
      </w:pPr>
      <w:r>
        <w:rPr>
          <w:rFonts w:ascii="Arial" w:cs="Arial" w:eastAsia="Arial" w:hAnsi="Arial"/>
          <w:b w:val="false"/>
          <w:bCs w:val="false"/>
          <w:caps w:val="false"/>
          <w:color w:val="1A1A1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500"/>
        <w:gridCol w:w="1800"/>
        <w:gridCol w:w="2000"/>
        <w:gridCol w:w="900"/>
        <w:gridCol w:w="560"/>
      </w:tblGrid>
      <w:tr>
        <w:trPr>
          <w:tblHeader/>
        </w:trPr>
        <w:tc>
          <w:tcPr>
            <w:tcW w:type="dxa" w:w="10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Phase</w:t>
            </w:r>
          </w:p>
        </w:tc>
        <w:tc>
          <w:tcPr>
            <w:tcW w:type="dxa" w:w="16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Furnace Type</w:t>
            </w:r>
          </w:p>
        </w:tc>
        <w:tc>
          <w:tcPr>
            <w:tcW w:type="dxa" w:w="15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Min. Dimensions</w:t>
            </w:r>
          </w:p>
        </w:tc>
        <w:tc>
          <w:tcPr>
            <w:tcW w:type="dxa" w:w="18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Tests Supported</w:t>
            </w:r>
          </w:p>
        </w:tc>
        <w:tc>
          <w:tcPr>
            <w:tcW w:type="dxa" w:w="20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Merge4Ward Relevance</w:t>
            </w:r>
          </w:p>
        </w:tc>
        <w:tc>
          <w:tcPr>
            <w:tcW w:type="dxa" w:w="9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Est. Cost</w:t>
            </w:r>
          </w:p>
        </w:tc>
        <w:tc>
          <w:tcPr>
            <w:tcW w:type="dxa" w:w="56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Priority</w:t>
            </w:r>
          </w:p>
        </w:tc>
      </w:tr>
      <w:tr>
        <w:tc>
          <w:tcPr>
            <w:tcW w:type="dxa" w:w="1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Phase 2A — Priority</w:t>
            </w:r>
          </w:p>
        </w:tc>
        <w:tc>
          <w:tcPr>
            <w:tcW w:type="dxa" w:w="1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Small-scale vertical furnace</w:t>
            </w:r>
          </w:p>
        </w:tc>
        <w:tc>
          <w:tcPr>
            <w:tcW w:type="dxa" w:w="15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48" W × 48" H × 24" D minimum</w:t>
            </w:r>
          </w:p>
        </w:tc>
        <w:tc>
          <w:tcPr>
            <w:tcW w:type="dxa" w:w="1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Wall, partition, non-bearing panels</w:t>
            </w:r>
          </w:p>
        </w:tc>
        <w:tc>
          <w:tcPr>
            <w:tcW w:type="dxa" w:w="2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MgO SIP party wall (W-3, W-4); CLT wall assemblies</w:t>
            </w:r>
          </w:p>
        </w:tc>
        <w:tc>
          <w:tcPr>
            <w:tcW w:type="dxa" w:w="9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$400K–$800K</w:t>
            </w:r>
          </w:p>
        </w:tc>
        <w:tc>
          <w:tcPr>
            <w:tcW w:type="dxa" w:w="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Entry point — supports ESR development for Merge4Ward proprietary panels</w:t>
            </w:r>
          </w:p>
        </w:tc>
      </w:tr>
      <w:tr>
        <w:tc>
          <w:tcPr>
            <w:tcW w:type="dxa" w:w="10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Phase 2B</w:t>
            </w:r>
          </w:p>
        </w:tc>
        <w:tc>
          <w:tcPr>
            <w:tcW w:type="dxa" w:w="16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Full-scale vertical furnace</w:t>
            </w:r>
          </w:p>
        </w:tc>
        <w:tc>
          <w:tcPr>
            <w:tcW w:type="dxa" w:w="15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10' × 10' opening minimum</w:t>
            </w:r>
          </w:p>
        </w:tc>
        <w:tc>
          <w:tcPr>
            <w:tcW w:type="dxa" w:w="18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Bearing + non-bearing walls, door assemblies, full-height partitions</w:t>
            </w:r>
          </w:p>
        </w:tc>
        <w:tc>
          <w:tcPr>
            <w:tcW w:type="dxa" w:w="20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Full building permit submission listings; third-party commercial clients</w:t>
            </w:r>
          </w:p>
        </w:tc>
        <w:tc>
          <w:tcPr>
            <w:tcW w:type="dxa" w:w="9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$1.5M–$2.5M</w:t>
            </w:r>
          </w:p>
        </w:tc>
        <w:tc>
          <w:tcPr>
            <w:tcW w:type="dxa" w:w="5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Expands client base to all wall assembly manufacturers</w:t>
            </w:r>
          </w:p>
        </w:tc>
      </w:tr>
      <w:tr>
        <w:tc>
          <w:tcPr>
            <w:tcW w:type="dxa" w:w="1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Phase 3</w:t>
            </w:r>
          </w:p>
        </w:tc>
        <w:tc>
          <w:tcPr>
            <w:tcW w:type="dxa" w:w="1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Full-scale horizontal furnace</w:t>
            </w:r>
          </w:p>
        </w:tc>
        <w:tc>
          <w:tcPr>
            <w:tcW w:type="dxa" w:w="15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14' × 18' opening, 6' deep minimum</w:t>
            </w:r>
          </w:p>
        </w:tc>
        <w:tc>
          <w:tcPr>
            <w:tcW w:type="dxa" w:w="1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Floor/ceiling assemblies, roof assemblies</w:t>
            </w:r>
          </w:p>
        </w:tc>
        <w:tc>
          <w:tcPr>
            <w:tcW w:type="dxa" w:w="2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CLT floor systems, SIP roof panels, composite floor assemblies</w:t>
            </w:r>
          </w:p>
        </w:tc>
        <w:tc>
          <w:tcPr>
            <w:tcW w:type="dxa" w:w="9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$1.5M–$2.5M additional</w:t>
            </w:r>
          </w:p>
        </w:tc>
        <w:tc>
          <w:tcPr>
            <w:tcW w:type="dxa" w:w="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Completes full-service lab capability; major third-party revenue unlock</w:t>
            </w:r>
          </w:p>
        </w:tc>
      </w:tr>
      <w:tr>
        <w:tc>
          <w:tcPr>
            <w:tcW w:type="dxa" w:w="10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Phase 3+</w:t>
            </w:r>
          </w:p>
        </w:tc>
        <w:tc>
          <w:tcPr>
            <w:tcW w:type="dxa" w:w="16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Steiner tunnel furnace (ASTM E84)</w:t>
            </w:r>
          </w:p>
        </w:tc>
        <w:tc>
          <w:tcPr>
            <w:tcW w:type="dxa" w:w="15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25' length</w:t>
            </w:r>
          </w:p>
        </w:tc>
        <w:tc>
          <w:tcPr>
            <w:tcW w:type="dxa" w:w="18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Surface burning characteristics — flame spread and smoke</w:t>
            </w:r>
          </w:p>
        </w:tc>
        <w:tc>
          <w:tcPr>
            <w:tcW w:type="dxa" w:w="20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MgO board, EPS foam, CLT surface treatments, GWB</w:t>
            </w:r>
          </w:p>
        </w:tc>
        <w:tc>
          <w:tcPr>
            <w:tcW w:type="dxa" w:w="9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$300K–$500K additional</w:t>
            </w:r>
          </w:p>
        </w:tc>
        <w:tc>
          <w:tcPr>
            <w:tcW w:type="dxa" w:w="5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E84 testing is high-volume, fast-turnaround, high-margin — strong revenue diversifier</w:t>
            </w:r>
          </w:p>
        </w:tc>
      </w:tr>
    </w:tbl>
    <w:p>
      <w:pPr>
        <w:spacing w:after="80" w:before="0"/>
        <w:jc w:val="left"/>
      </w:pPr>
      <w:r>
        <w:rPr>
          <w:rFonts w:ascii="Arial" w:cs="Arial" w:eastAsia="Arial" w:hAnsi="Arial"/>
          <w:b w:val="false"/>
          <w:bCs w:val="false"/>
          <w:caps w:val="false"/>
          <w:color w:val="1A1A18"/>
          <w:sz w:val="20"/>
          <w:szCs w:val="20"/>
        </w:rPr>
        <w:t xml:space="preserve"/>
      </w:r>
    </w:p>
    <w:p>
      <w:pPr>
        <w:pBdr>
          <w:left w:val="single" w:color="B8962E" w:sz="16" w:space="8"/>
        </w:pBdr>
        <w:shd w:fill="FDF8EE" w:val="clear"/>
        <w:spacing w:after="120" w:before="120"/>
        <w:ind w:left="180"/>
      </w:pPr>
      <w:r>
        <w:rPr>
          <w:rFonts w:ascii="Arial" w:cs="Arial" w:eastAsia="Arial" w:hAnsi="Arial"/>
          <w:b w:val="false"/>
          <w:bCs w:val="false"/>
          <w:caps w:val="false"/>
          <w:color w:val="1A1A18"/>
          <w:sz w:val="19"/>
          <w:szCs w:val="19"/>
        </w:rPr>
        <w:t xml:space="preserve">Capital summary: Phase 2A (small-scale vertical furnace only) = $400K–$800K all-in including gas supply, data acquisition, instrumentation, and smoke abatement. This is the minimum viable lab for Merge4Ward's own ESR development program. Full Phase 2A+2B+3 = $4M–$6M, achievable as a phased capital deployment over 5–7 years with third-party revenue offsetting ongoing operating costs.</w:t>
      </w:r>
    </w:p>
    <w:p>
      <w:pPr>
        <w:spacing w:after="80" w:before="0"/>
        <w:jc w:val="left"/>
      </w:pPr>
      <w:r>
        <w:rPr>
          <w:rFonts w:ascii="Arial" w:cs="Arial" w:eastAsia="Arial" w:hAnsi="Arial"/>
          <w:b w:val="false"/>
          <w:bCs w:val="false"/>
          <w:caps w:val="false"/>
          <w:color w:val="1A1A18"/>
          <w:sz w:val="20"/>
          <w:szCs w:val="20"/>
        </w:rPr>
        <w:t xml:space="preserve"/>
      </w:r>
    </w:p>
    <w:p>
      <w:pPr>
        <w:spacing w:after="80" w:before="280"/>
      </w:pPr>
      <w:r>
        <w:rPr>
          <w:rFonts w:ascii="Arial" w:cs="Arial" w:eastAsia="Arial" w:hAnsi="Arial"/>
          <w:b/>
          <w:bCs/>
          <w:caps w:val="false"/>
          <w:color w:val="1A1A18"/>
          <w:sz w:val="22"/>
          <w:szCs w:val="22"/>
        </w:rPr>
        <w:t xml:space="preserve">C.3  Environmental and zoning requirements</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Smoke abatement: ASTM E119 testing produces significant smoke and combustion gases. A pollution abatement system (afterburner or scrubber) is required by most local air quality regulations and is a prerequisite for obtaining a testing lab operating permit in Delaware. Budget $150K–$300K as part of the furnace build cost.</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Natural gas service: High-BTU natural gas supply is required for furnace operation. The port-adjacent parcels under evaluation for Merge4Ward manufacturing have confirmed utility access — this should be verified as part of site due diligence to include gas supply capacity for testing loads.</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High-bay building: The furnace structure requires clear height of 18'–24' minimum for the vertical furnace loading system. This is consistent with the manufacturing building requirements and can be accommodated in the same facility with a dedicated high-bay bay.</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Zoning: Industrial manufacturing zoning (M-1 or equivalent) accommodates fire testing laboratory operations in Delaware. Confirm with the relevant jurisdiction during site due diligence.</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DNREC air quality permit: Delaware DNREC will require an air quality operating permit for the combustion equipment. This is a standard industrial permit and is not a material barrier — but should be initiated concurrently with the building permit application, not afterward.</w:t>
      </w:r>
    </w:p>
    <w:p>
      <w:pPr>
        <w:spacing w:after="160" w:before="0"/>
        <w:jc w:val="left"/>
      </w:pPr>
      <w:r>
        <w:rPr>
          <w:rFonts w:ascii="Arial" w:cs="Arial" w:eastAsia="Arial" w:hAnsi="Arial"/>
          <w:b w:val="false"/>
          <w:bCs w:val="false"/>
          <w:caps w:val="false"/>
          <w:color w:val="1A1A18"/>
          <w:sz w:val="20"/>
          <w:szCs w:val="20"/>
        </w:rPr>
        <w:t xml:space="preserve"/>
      </w:r>
    </w:p>
    <w:p>
      <w:pPr>
        <w:pBdr>
          <w:bottom w:val="single" w:color="196B23" w:sz="8" w:space="4"/>
        </w:pBdr>
        <w:spacing w:after="120" w:before="360"/>
      </w:pPr>
      <w:r>
        <w:rPr>
          <w:rFonts w:ascii="Arial" w:cs="Arial" w:eastAsia="Arial" w:hAnsi="Arial"/>
          <w:b/>
          <w:bCs/>
          <w:caps w:val="false"/>
          <w:color w:val="196B23"/>
          <w:sz w:val="28"/>
          <w:szCs w:val="28"/>
        </w:rPr>
        <w:t xml:space="preserve">D. Financial Feasibility</w:t>
      </w:r>
    </w:p>
    <w:p>
      <w:pPr>
        <w:spacing w:after="80" w:before="280"/>
      </w:pPr>
      <w:r>
        <w:rPr>
          <w:rFonts w:ascii="Arial" w:cs="Arial" w:eastAsia="Arial" w:hAnsi="Arial"/>
          <w:b/>
          <w:bCs/>
          <w:caps w:val="false"/>
          <w:color w:val="1A1A18"/>
          <w:sz w:val="22"/>
          <w:szCs w:val="22"/>
        </w:rPr>
        <w:t xml:space="preserve">D.1  Revenue model</w:t>
      </w:r>
    </w:p>
    <w:p>
      <w:pPr>
        <w:spacing w:after="100" w:before="0"/>
        <w:jc w:val="left"/>
      </w:pPr>
      <w:r>
        <w:rPr>
          <w:rFonts w:ascii="Arial" w:cs="Arial" w:eastAsia="Arial" w:hAnsi="Arial"/>
          <w:b w:val="false"/>
          <w:bCs w:val="false"/>
          <w:caps w:val="false"/>
          <w:color w:val="1A1A18"/>
          <w:sz w:val="19"/>
          <w:szCs w:val="19"/>
        </w:rPr>
        <w:t xml:space="preserve">A Merge4Ward fire testing laboratory generates revenue through three streams:</w:t>
      </w:r>
    </w:p>
    <w:p>
      <w:pPr>
        <w:spacing w:after="80" w:before="0"/>
        <w:jc w:val="left"/>
      </w:pPr>
      <w:r>
        <w:rPr>
          <w:rFonts w:ascii="Arial" w:cs="Arial" w:eastAsia="Arial" w:hAnsi="Arial"/>
          <w:b w:val="false"/>
          <w:bCs w:val="false"/>
          <w:caps w:val="false"/>
          <w:color w:val="1A1A1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760"/>
      </w:tblGrid>
      <w:tr>
        <w:trPr>
          <w:tblHeader/>
        </w:trPr>
        <w:tc>
          <w:tcPr>
            <w:tcW w:type="dxa" w:w="20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Stream</w:t>
            </w:r>
          </w:p>
        </w:tc>
        <w:tc>
          <w:tcPr>
            <w:tcW w:type="dxa" w:w="32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Description</w:t>
            </w:r>
          </w:p>
        </w:tc>
        <w:tc>
          <w:tcPr>
            <w:tcW w:type="dxa" w:w="14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Model</w:t>
            </w:r>
          </w:p>
        </w:tc>
        <w:tc>
          <w:tcPr>
            <w:tcW w:type="dxa" w:w="276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Est. Revenue</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Internal — proprietary panel testing</w:t>
            </w:r>
          </w:p>
        </w:tc>
        <w:tc>
          <w:tcPr>
            <w:tcW w:type="dxa" w:w="3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ASTM E119 testing of Merge4Ward MgO SIP panels, CLT assemblies, and future products for ICC-ES ESR development</w:t>
            </w:r>
          </w:p>
        </w:tc>
        <w:tc>
          <w:tcPr>
            <w:tcW w:type="dxa" w:w="14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Cost avoidance vs. external lab fees</w:t>
            </w:r>
          </w:p>
        </w:tc>
        <w:tc>
          <w:tcPr>
            <w:tcW w:type="dxa" w:w="2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$15K–$40K per test series avoided; Western Fire Center charges approximately $8K–$20K per individual wall assembly test</w:t>
            </w:r>
          </w:p>
        </w:tc>
      </w:tr>
      <w:tr>
        <w:tc>
          <w:tcPr>
            <w:tcW w:type="dxa" w:w="20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Third-party — building materials manufacturers</w:t>
            </w:r>
          </w:p>
        </w:tc>
        <w:tc>
          <w:tcPr>
            <w:tcW w:type="dxa" w:w="3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Testing services for SIP, CLT, MgO panel, door/window, and other building assembly manufacturers in the Mid-Atlantic corridor</w:t>
            </w:r>
          </w:p>
        </w:tc>
        <w:tc>
          <w:tcPr>
            <w:tcW w:type="dxa" w:w="14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Fee per test engagement</w:t>
            </w:r>
          </w:p>
        </w:tc>
        <w:tc>
          <w:tcPr>
            <w:tcW w:type="dxa" w:w="27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$15K–$35K per full-scale test series; $5K–$10K per small-scale test; 30–50 tests/year at Phase 2B scale = $500K–$1.5M gross</w:t>
            </w:r>
          </w:p>
        </w:tc>
      </w:tr>
      <w:tr>
        <w:tc>
          <w:tcPr>
            <w:tcW w:type="dxa" w:w="2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Third-party — ASTM E84 surface burning</w:t>
            </w:r>
          </w:p>
        </w:tc>
        <w:tc>
          <w:tcPr>
            <w:tcW w:type="dxa" w:w="3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High-volume surface burning characteristics testing for building materials (flooring, insulation, cladding, coatings)</w:t>
            </w:r>
          </w:p>
        </w:tc>
        <w:tc>
          <w:tcPr>
            <w:tcW w:type="dxa" w:w="14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Fee per specimen</w:t>
            </w:r>
          </w:p>
        </w:tc>
        <w:tc>
          <w:tcPr>
            <w:tcW w:type="dxa" w:w="2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$500–$2,000 per specimen; 200–500 specimens/year = $200K–$500K gross at Phase 3 Steiner tunnel scale</w:t>
            </w:r>
          </w:p>
        </w:tc>
      </w:tr>
      <w:tr>
        <w:tc>
          <w:tcPr>
            <w:tcW w:type="dxa" w:w="20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Research partnerships</w:t>
            </w:r>
          </w:p>
        </w:tc>
        <w:tc>
          <w:tcPr>
            <w:tcW w:type="dxa" w:w="3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University of Delaware, federal agency research programs (DOE, NIST) requiring fire testing infrastructure</w:t>
            </w:r>
          </w:p>
        </w:tc>
        <w:tc>
          <w:tcPr>
            <w:tcW w:type="dxa" w:w="14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Grant subcontract revenue</w:t>
            </w:r>
          </w:p>
        </w:tc>
        <w:tc>
          <w:tcPr>
            <w:tcW w:type="dxa" w:w="27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$100K–$500K/year depending on active research programs; variable</w:t>
            </w:r>
          </w:p>
        </w:tc>
      </w:tr>
    </w:tbl>
    <w:p>
      <w:pPr>
        <w:spacing w:after="80" w:before="0"/>
        <w:jc w:val="left"/>
      </w:pPr>
      <w:r>
        <w:rPr>
          <w:rFonts w:ascii="Arial" w:cs="Arial" w:eastAsia="Arial" w:hAnsi="Arial"/>
          <w:b w:val="false"/>
          <w:bCs w:val="false"/>
          <w:caps w:val="false"/>
          <w:color w:val="1A1A18"/>
          <w:sz w:val="20"/>
          <w:szCs w:val="20"/>
        </w:rPr>
        <w:t xml:space="preserve"/>
      </w:r>
    </w:p>
    <w:p>
      <w:pPr>
        <w:spacing w:after="80" w:before="280"/>
      </w:pPr>
      <w:r>
        <w:rPr>
          <w:rFonts w:ascii="Arial" w:cs="Arial" w:eastAsia="Arial" w:hAnsi="Arial"/>
          <w:b/>
          <w:bCs/>
          <w:caps w:val="false"/>
          <w:color w:val="1A1A18"/>
          <w:sz w:val="22"/>
          <w:szCs w:val="22"/>
        </w:rPr>
        <w:t xml:space="preserve">D.2  Operating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rPr>
          <w:tblHeader/>
        </w:trPr>
        <w:tc>
          <w:tcPr>
            <w:tcW w:type="dxa" w:w="28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Cost Category</w:t>
            </w:r>
          </w:p>
        </w:tc>
        <w:tc>
          <w:tcPr>
            <w:tcW w:type="dxa" w:w="48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Description</w:t>
            </w:r>
          </w:p>
        </w:tc>
        <w:tc>
          <w:tcPr>
            <w:tcW w:type="dxa" w:w="176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Estimated Annual Cost</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Technical staff</w:t>
            </w:r>
          </w:p>
        </w:tc>
        <w:tc>
          <w:tcPr>
            <w:tcW w:type="dxa" w:w="4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1 fire test engineer (lead) + 1–2 lab technicians</w:t>
            </w:r>
          </w:p>
        </w:tc>
        <w:tc>
          <w:tcPr>
            <w:tcW w:type="dxa" w:w="1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$180K–$280K/yr</w:t>
            </w:r>
          </w:p>
        </w:tc>
      </w:tr>
      <w:tr>
        <w:tc>
          <w:tcPr>
            <w:tcW w:type="dxa" w:w="28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Natural gas (testing fuel)</w:t>
            </w:r>
          </w:p>
        </w:tc>
        <w:tc>
          <w:tcPr>
            <w:tcW w:type="dxa" w:w="48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Variable with test volume; high-BTU consumption per test</w:t>
            </w:r>
          </w:p>
        </w:tc>
        <w:tc>
          <w:tcPr>
            <w:tcW w:type="dxa" w:w="17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$40K–$80K/yr at Phase 2B scale</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Equipment maintenance and calibration</w:t>
            </w:r>
          </w:p>
        </w:tc>
        <w:tc>
          <w:tcPr>
            <w:tcW w:type="dxa" w:w="4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Annual furnace calibration, thermocouple replacement, data system maintenance</w:t>
            </w:r>
          </w:p>
        </w:tc>
        <w:tc>
          <w:tcPr>
            <w:tcW w:type="dxa" w:w="1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$25K–$50K/yr</w:t>
            </w:r>
          </w:p>
        </w:tc>
      </w:tr>
      <w:tr>
        <w:tc>
          <w:tcPr>
            <w:tcW w:type="dxa" w:w="28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ISO 17025 accreditation surveillance</w:t>
            </w:r>
          </w:p>
        </w:tc>
        <w:tc>
          <w:tcPr>
            <w:tcW w:type="dxa" w:w="48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Annual IAS surveillance assessment and fees</w:t>
            </w:r>
          </w:p>
        </w:tc>
        <w:tc>
          <w:tcPr>
            <w:tcW w:type="dxa" w:w="17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$8K–$15K/yr</w:t>
            </w:r>
          </w:p>
        </w:tc>
      </w:tr>
      <w:tr>
        <w:tc>
          <w:tcPr>
            <w:tcW w:type="dxa" w:w="2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Insurance (testing lab)</w:t>
            </w:r>
          </w:p>
        </w:tc>
        <w:tc>
          <w:tcPr>
            <w:tcW w:type="dxa" w:w="4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Specialized fire testing lab liability coverage</w:t>
            </w:r>
          </w:p>
        </w:tc>
        <w:tc>
          <w:tcPr>
            <w:tcW w:type="dxa" w:w="17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$30K–$60K/yr</w:t>
            </w:r>
          </w:p>
        </w:tc>
      </w:tr>
      <w:tr>
        <w:tc>
          <w:tcPr>
            <w:tcW w:type="dxa" w:w="28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Total estimated operating cost</w:t>
            </w:r>
          </w:p>
        </w:tc>
        <w:tc>
          <w:tcPr>
            <w:tcW w:type="dxa" w:w="48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
            </w:r>
          </w:p>
        </w:tc>
        <w:tc>
          <w:tcPr>
            <w:tcW w:type="dxa" w:w="17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$283K–$485K/yr at Phase 2B scale</w:t>
            </w:r>
          </w:p>
        </w:tc>
      </w:tr>
    </w:tbl>
    <w:p>
      <w:pPr>
        <w:spacing w:after="80" w:before="0"/>
        <w:jc w:val="left"/>
      </w:pPr>
      <w:r>
        <w:rPr>
          <w:rFonts w:ascii="Arial" w:cs="Arial" w:eastAsia="Arial" w:hAnsi="Arial"/>
          <w:b w:val="false"/>
          <w:bCs w:val="false"/>
          <w:caps w:val="false"/>
          <w:color w:val="1A1A18"/>
          <w:sz w:val="20"/>
          <w:szCs w:val="20"/>
        </w:rPr>
        <w:t xml:space="preserve"/>
      </w:r>
    </w:p>
    <w:p>
      <w:pPr>
        <w:pBdr>
          <w:left w:val="single" w:color="196B23" w:sz="16" w:space="8"/>
        </w:pBdr>
        <w:shd w:fill="E8F2E8" w:val="clear"/>
        <w:spacing w:after="120" w:before="120"/>
        <w:ind w:left="180"/>
      </w:pPr>
      <w:r>
        <w:rPr>
          <w:rFonts w:ascii="Arial" w:cs="Arial" w:eastAsia="Arial" w:hAnsi="Arial"/>
          <w:b w:val="false"/>
          <w:bCs w:val="false"/>
          <w:caps w:val="false"/>
          <w:color w:val="1A1A18"/>
          <w:sz w:val="19"/>
          <w:szCs w:val="19"/>
        </w:rPr>
        <w:t xml:space="preserve">Break-even: At Phase 2B scale (full-scale vertical furnace, third-party client base), the lab requires approximately 20–30 external test engagements per year to cover operating costs. That is achievable within the Mid-Atlantic market gap identified in Section B — and does not require any revenue from the Phase 3 Steiner tunnel or horizontal furnace. Internal cost avoidance from proprietary product testing is additive.</w:t>
      </w:r>
    </w:p>
    <w:p>
      <w:pPr>
        <w:spacing w:after="80" w:before="0"/>
        <w:jc w:val="left"/>
      </w:pPr>
      <w:r>
        <w:rPr>
          <w:rFonts w:ascii="Arial" w:cs="Arial" w:eastAsia="Arial" w:hAnsi="Arial"/>
          <w:b w:val="false"/>
          <w:bCs w:val="false"/>
          <w:caps w:val="false"/>
          <w:color w:val="1A1A18"/>
          <w:sz w:val="20"/>
          <w:szCs w:val="20"/>
        </w:rPr>
        <w:t xml:space="preserve"/>
      </w:r>
    </w:p>
    <w:p>
      <w:pPr>
        <w:spacing w:after="80" w:before="280"/>
      </w:pPr>
      <w:r>
        <w:rPr>
          <w:rFonts w:ascii="Arial" w:cs="Arial" w:eastAsia="Arial" w:hAnsi="Arial"/>
          <w:b/>
          <w:bCs/>
          <w:caps w:val="false"/>
          <w:color w:val="1A1A18"/>
          <w:sz w:val="22"/>
          <w:szCs w:val="22"/>
        </w:rPr>
        <w:t xml:space="preserve">D.3  Grant funding alignment</w:t>
      </w:r>
    </w:p>
    <w:p>
      <w:pPr>
        <w:spacing w:after="100" w:before="0"/>
        <w:jc w:val="left"/>
      </w:pPr>
      <w:r>
        <w:rPr>
          <w:rFonts w:ascii="Arial" w:cs="Arial" w:eastAsia="Arial" w:hAnsi="Arial"/>
          <w:b w:val="false"/>
          <w:bCs w:val="false"/>
          <w:caps w:val="false"/>
          <w:color w:val="1A1A18"/>
          <w:sz w:val="19"/>
          <w:szCs w:val="19"/>
        </w:rPr>
        <w:t xml:space="preserve">A fire testing laboratory on the Merge4Ward campus strengthens — and in some cases unlocks — grant programs already being pursued:</w:t>
      </w:r>
    </w:p>
    <w:p>
      <w:pPr>
        <w:spacing w:after="80" w:before="0"/>
        <w:jc w:val="left"/>
      </w:pPr>
      <w:r>
        <w:rPr>
          <w:rFonts w:ascii="Arial" w:cs="Arial" w:eastAsia="Arial" w:hAnsi="Arial"/>
          <w:b w:val="false"/>
          <w:bCs w:val="false"/>
          <w:caps w:val="false"/>
          <w:color w:val="1A1A18"/>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Program</w:t>
            </w:r>
          </w:p>
        </w:tc>
        <w:tc>
          <w:tcPr>
            <w:tcW w:type="dxa" w:w="44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Eligibility Basis</w:t>
            </w:r>
          </w:p>
        </w:tc>
        <w:tc>
          <w:tcPr>
            <w:tcW w:type="dxa" w:w="236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Est. Funding Range</w:t>
            </w:r>
          </w:p>
        </w:tc>
      </w:tr>
      <w:tr>
        <w:tc>
          <w:tcPr>
            <w:tcW w:type="dxa" w:w="2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EDA Build to Scale / Regional Technology</w:t>
            </w:r>
          </w:p>
        </w:tc>
        <w:tc>
          <w:tcPr>
            <w:tcW w:type="dxa" w:w="44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Advanced manufacturing + testing infrastructure in economically distressed region. Testing lab is eligible as manufacturing support infrastructure.</w:t>
            </w:r>
          </w:p>
        </w:tc>
        <w:tc>
          <w:tcPr>
            <w:tcW w:type="dxa" w:w="2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$500K–$2M</w:t>
            </w:r>
          </w:p>
        </w:tc>
      </w:tr>
      <w:tr>
        <w:tc>
          <w:tcPr>
            <w:tcW w:type="dxa" w:w="26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DOE Building Technologies Office</w:t>
            </w:r>
          </w:p>
        </w:tc>
        <w:tc>
          <w:tcPr>
            <w:tcW w:type="dxa" w:w="44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Fire testing of advanced building materials (CLT, MgO panels) qualifies as building technology research support infrastructure. University of Delaware partnership required.</w:t>
            </w:r>
          </w:p>
        </w:tc>
        <w:tc>
          <w:tcPr>
            <w:tcW w:type="dxa" w:w="23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$1M–$5M</w:t>
            </w:r>
          </w:p>
        </w:tc>
      </w:tr>
      <w:tr>
        <w:tc>
          <w:tcPr>
            <w:tcW w:type="dxa" w:w="2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DEDO Strategic Fund</w:t>
            </w:r>
          </w:p>
        </w:tc>
        <w:tc>
          <w:tcPr>
            <w:tcW w:type="dxa" w:w="44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Job-creating capital investment in Delaware manufacturing. 10+ jobs at $45K+ qualifies. Testing lab jobs are high-wage (fire test engineers).</w:t>
            </w:r>
          </w:p>
        </w:tc>
        <w:tc>
          <w:tcPr>
            <w:tcW w:type="dxa" w:w="2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$250K–$1M</w:t>
            </w:r>
          </w:p>
        </w:tc>
      </w:tr>
      <w:tr>
        <w:tc>
          <w:tcPr>
            <w:tcW w:type="dxa" w:w="26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EPA Brownfields — site remediation</w:t>
            </w:r>
          </w:p>
        </w:tc>
        <w:tc>
          <w:tcPr>
            <w:tcW w:type="dxa" w:w="44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If the Merge4Ward site requires brownfield remediation (port-adjacent parcels often do), EPA Brownfields funding covers remediation costs, reducing net site acquisition cost.</w:t>
            </w:r>
          </w:p>
        </w:tc>
        <w:tc>
          <w:tcPr>
            <w:tcW w:type="dxa" w:w="23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$200K–$500K</w:t>
            </w:r>
          </w:p>
        </w:tc>
      </w:tr>
      <w:tr>
        <w:tc>
          <w:tcPr>
            <w:tcW w:type="dxa" w:w="2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NIST Advanced Manufacturing</w:t>
            </w:r>
          </w:p>
        </w:tc>
        <w:tc>
          <w:tcPr>
            <w:tcW w:type="dxa" w:w="44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Fire testing infrastructure supporting advanced building materials is eligible under NIST manufacturing extension and technology transfer programs.</w:t>
            </w:r>
          </w:p>
        </w:tc>
        <w:tc>
          <w:tcPr>
            <w:tcW w:type="dxa" w:w="23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$100K–$500K</w:t>
            </w:r>
          </w:p>
        </w:tc>
      </w:tr>
      <w:tr>
        <w:tc>
          <w:tcPr>
            <w:tcW w:type="dxa" w:w="26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Delaware Manufacturing Extension Partnership</w:t>
            </w:r>
          </w:p>
        </w:tc>
        <w:tc>
          <w:tcPr>
            <w:tcW w:type="dxa" w:w="44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Technical assistance and matching grants for manufacturing process development. Testing lab qualifies as quality control infrastructure for the manufacturing operation.</w:t>
            </w:r>
          </w:p>
        </w:tc>
        <w:tc>
          <w:tcPr>
            <w:tcW w:type="dxa" w:w="23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$50K–$150K</w:t>
            </w:r>
          </w:p>
        </w:tc>
      </w:tr>
    </w:tbl>
    <w:p>
      <w:pPr>
        <w:spacing w:after="160" w:before="0"/>
        <w:jc w:val="left"/>
      </w:pPr>
      <w:r>
        <w:rPr>
          <w:rFonts w:ascii="Arial" w:cs="Arial" w:eastAsia="Arial" w:hAnsi="Arial"/>
          <w:b w:val="false"/>
          <w:bCs w:val="false"/>
          <w:caps w:val="false"/>
          <w:color w:val="1A1A18"/>
          <w:sz w:val="20"/>
          <w:szCs w:val="20"/>
        </w:rPr>
        <w:t xml:space="preserve"/>
      </w:r>
    </w:p>
    <w:p>
      <w:pPr>
        <w:pBdr>
          <w:bottom w:val="single" w:color="196B23" w:sz="8" w:space="4"/>
        </w:pBdr>
        <w:spacing w:after="120" w:before="360"/>
      </w:pPr>
      <w:r>
        <w:rPr>
          <w:rFonts w:ascii="Arial" w:cs="Arial" w:eastAsia="Arial" w:hAnsi="Arial"/>
          <w:b/>
          <w:bCs/>
          <w:caps w:val="false"/>
          <w:color w:val="196B23"/>
          <w:sz w:val="28"/>
          <w:szCs w:val="28"/>
        </w:rPr>
        <w:t xml:space="preserve">E. Risks and Mitigants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Risk</w:t>
            </w:r>
          </w:p>
        </w:tc>
        <w:tc>
          <w:tcPr>
            <w:tcW w:type="dxa" w:w="22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Level</w:t>
            </w:r>
          </w:p>
        </w:tc>
        <w:tc>
          <w:tcPr>
            <w:tcW w:type="dxa" w:w="556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Mitigant</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Capital concentration</w:t>
            </w:r>
          </w:p>
        </w:tc>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High — $400K–$800K Phase 2A minimum is a significant commitment for a forming partnership</w:t>
            </w:r>
          </w:p>
        </w:tc>
        <w:tc>
          <w:tcPr>
            <w:tcW w:type="dxa" w:w="5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Phase the build: begin with small-scale vertical furnace only. Generate revenue and demonstrate demand before committing to Phase 2B and 3 capital.</w:t>
            </w:r>
          </w:p>
        </w:tc>
      </w:tr>
      <w:tr>
        <w:tc>
          <w:tcPr>
            <w:tcW w:type="dxa" w:w="16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Accreditation timeline</w:t>
            </w:r>
          </w:p>
        </w:tc>
        <w:tc>
          <w:tcPr>
            <w:tcW w:type="dxa" w:w="2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Medium — ISO 17025 accreditation takes 6–12 months. Lab cannot issue test reports to clients during this period, meaning no third-party revenue until accreditation is complete.</w:t>
            </w:r>
          </w:p>
        </w:tc>
        <w:tc>
          <w:tcPr>
            <w:tcW w:type="dxa" w:w="55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Begin accreditation process concurrently with furnace build. Budget 18–24 months from capital commitment to first paying client test.</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Technical staffing</w:t>
            </w:r>
          </w:p>
        </w:tc>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Medium — qualified fire test engineers are rare. The pool of professionals with ASTM E119 testing experience is small.</w:t>
            </w:r>
          </w:p>
        </w:tc>
        <w:tc>
          <w:tcPr>
            <w:tcW w:type="dxa" w:w="5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Identify and begin relationship with a target hire before the furnace is commissioned. Western Fire Center staff are a potential recruitment target given existing relationship.</w:t>
            </w:r>
          </w:p>
        </w:tc>
      </w:tr>
      <w:tr>
        <w:tc>
          <w:tcPr>
            <w:tcW w:type="dxa" w:w="16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AHJ / permitting</w:t>
            </w:r>
          </w:p>
        </w:tc>
        <w:tc>
          <w:tcPr>
            <w:tcW w:type="dxa" w:w="2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Low-Medium — Delaware DNREC air quality permit and local building permit for the furnace structure are non-trivial but standard industrial processes.</w:t>
            </w:r>
          </w:p>
        </w:tc>
        <w:tc>
          <w:tcPr>
            <w:tcW w:type="dxa" w:w="55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Initiate DNREC pre-application meeting as part of the site due diligence process, not after site selection is committed.</w:t>
            </w:r>
          </w:p>
        </w:tc>
      </w:tr>
      <w:tr>
        <w:tc>
          <w:tcPr>
            <w:tcW w:type="dxa" w:w="1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Market timing</w:t>
            </w:r>
          </w:p>
        </w:tc>
        <w:tc>
          <w:tcPr>
            <w:tcW w:type="dxa" w:w="22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Low — IBC 2021 mass timber adoption is increasing Mid-Atlantic demand for fire testing over the next 5–7 years. The trend supports the investment thesis.</w:t>
            </w:r>
          </w:p>
        </w:tc>
        <w:tc>
          <w:tcPr>
            <w:tcW w:type="dxa" w:w="5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No mitigation required — the market tailwind is favorable. Risk is that a York PA or other existing lab expands into the Mid-Atlantic gap before Merge4Ward is ready.</w:t>
            </w:r>
          </w:p>
        </w:tc>
      </w:tr>
      <w:tr>
        <w:tc>
          <w:tcPr>
            <w:tcW w:type="dxa" w:w="16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Competitor pre-emption</w:t>
            </w:r>
          </w:p>
        </w:tc>
        <w:tc>
          <w:tcPr>
            <w:tcW w:type="dxa" w:w="22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Low-Medium — if Intertek or NGC expands into the Mid-Atlantic corridor before Merge4Ward is capitalized and operating, the market gap narrows.</w:t>
            </w:r>
          </w:p>
        </w:tc>
        <w:tc>
          <w:tcPr>
            <w:tcW w:type="dxa" w:w="55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Accelerate feasibility study timeline. A public commitment to a Delaware fire testing lab — even before capital is committed — creates a positioning claim that deters others.</w:t>
            </w:r>
          </w:p>
        </w:tc>
      </w:tr>
    </w:tbl>
    <w:p>
      <w:pPr>
        <w:spacing w:after="160" w:before="0"/>
        <w:jc w:val="left"/>
      </w:pPr>
      <w:r>
        <w:rPr>
          <w:rFonts w:ascii="Arial" w:cs="Arial" w:eastAsia="Arial" w:hAnsi="Arial"/>
          <w:b w:val="false"/>
          <w:bCs w:val="false"/>
          <w:caps w:val="false"/>
          <w:color w:val="1A1A18"/>
          <w:sz w:val="20"/>
          <w:szCs w:val="20"/>
        </w:rPr>
        <w:t xml:space="preserve"/>
      </w:r>
    </w:p>
    <w:p>
      <w:pPr>
        <w:pBdr>
          <w:bottom w:val="single" w:color="196B23" w:sz="8" w:space="4"/>
        </w:pBdr>
        <w:spacing w:after="120" w:before="360"/>
      </w:pPr>
      <w:r>
        <w:rPr>
          <w:rFonts w:ascii="Arial" w:cs="Arial" w:eastAsia="Arial" w:hAnsi="Arial"/>
          <w:b/>
          <w:bCs/>
          <w:caps w:val="false"/>
          <w:color w:val="196B23"/>
          <w:sz w:val="28"/>
          <w:szCs w:val="28"/>
        </w:rPr>
        <w:t xml:space="preserve">F. Implementation Roadmap</w:t>
      </w:r>
    </w:p>
    <w:p>
      <w:pPr>
        <w:spacing w:after="100" w:before="0"/>
        <w:jc w:val="left"/>
      </w:pPr>
      <w:r>
        <w:rPr>
          <w:rFonts w:ascii="Arial" w:cs="Arial" w:eastAsia="Arial" w:hAnsi="Arial"/>
          <w:b w:val="false"/>
          <w:bCs w:val="false"/>
          <w:caps w:val="false"/>
          <w:color w:val="1A1A18"/>
          <w:sz w:val="19"/>
          <w:szCs w:val="19"/>
        </w:rPr>
        <w:t xml:space="preserve">The following roadmap phases the fire testing laboratory development in alignment with the Merge4Ward manufacturing campus build-out:</w:t>
      </w:r>
    </w:p>
    <w:p>
      <w:pPr>
        <w:spacing w:after="80" w:before="0"/>
        <w:jc w:val="left"/>
      </w:pPr>
      <w:r>
        <w:rPr>
          <w:rFonts w:ascii="Arial" w:cs="Arial" w:eastAsia="Arial" w:hAnsi="Arial"/>
          <w:b w:val="false"/>
          <w:bCs w:val="false"/>
          <w:caps w:val="false"/>
          <w:color w:val="1A1A18"/>
          <w:sz w:val="20"/>
          <w:szCs w:val="20"/>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800"/>
        <w:gridCol w:w="1560"/>
        <w:gridCol w:w="2000"/>
      </w:tblGrid>
      <w:tr>
        <w:trPr>
          <w:tblHeader/>
        </w:trPr>
        <w:tc>
          <w:tcPr>
            <w:tcW w:type="dxa" w:w="14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Phase</w:t>
            </w:r>
          </w:p>
        </w:tc>
        <w:tc>
          <w:tcPr>
            <w:tcW w:type="dxa" w:w="16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Milestone</w:t>
            </w:r>
          </w:p>
        </w:tc>
        <w:tc>
          <w:tcPr>
            <w:tcW w:type="dxa" w:w="38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Key Actions</w:t>
            </w:r>
          </w:p>
        </w:tc>
        <w:tc>
          <w:tcPr>
            <w:tcW w:type="dxa" w:w="156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Capital</w:t>
            </w:r>
          </w:p>
        </w:tc>
        <w:tc>
          <w:tcPr>
            <w:tcW w:type="dxa" w:w="20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Success Marker</w:t>
            </w:r>
          </w:p>
        </w:tc>
      </w:tr>
      <w:tr>
        <w:tc>
          <w:tcPr>
            <w:tcW w:type="dxa" w:w="14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Year 1 — 2026–2027</w:t>
            </w:r>
          </w:p>
        </w:tc>
        <w:tc>
          <w:tcPr>
            <w:tcW w:type="dxa" w:w="1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Feasibility Study</w:t>
            </w:r>
          </w:p>
        </w:tc>
        <w:tc>
          <w:tcPr>
            <w:tcW w:type="dxa" w:w="3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 Commission site analysis for furnace infrastructure compatibility (gas capacity, ceiling height, DNREC requirements)
• Initiate UD partnership conversation
• Quantify Mid-Atlantic testing market demand through manufacturer interviews
• Develop capital plan for Phase 2A furnace
• Flag for Wells Fargo / EDA grant narrative</w:t>
            </w:r>
          </w:p>
        </w:tc>
        <w:tc>
          <w:tcPr>
            <w:tcW w:type="dxa" w:w="1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$0–$50K (study costs)</w:t>
            </w:r>
          </w:p>
        </w:tc>
        <w:tc>
          <w:tcPr>
            <w:tcW w:type="dxa" w:w="2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Go/no-go decision for Phase 2A capital commitment</w:t>
            </w:r>
          </w:p>
        </w:tc>
      </w:tr>
      <w:tr>
        <w:tc>
          <w:tcPr>
            <w:tcW w:type="dxa" w:w="14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Year 2 — 2027–2028</w:t>
            </w:r>
          </w:p>
        </w:tc>
        <w:tc>
          <w:tcPr>
            <w:tcW w:type="dxa" w:w="16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Phase 2A Design + Permitting</w:t>
            </w:r>
          </w:p>
        </w:tc>
        <w:tc>
          <w:tcPr>
            <w:tcW w:type="dxa" w:w="38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 Engage furnace designer/fabricator for small-scale vertical furnace
• Submit DNREC air quality pre-application
• Begin ISO 17025 QMS development
• Identify and recruit fire test engineer
• Submit EDA and DEDO grant applications for capital</w:t>
            </w:r>
          </w:p>
        </w:tc>
        <w:tc>
          <w:tcPr>
            <w:tcW w:type="dxa" w:w="15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$50K–$150K (design + permitting)</w:t>
            </w:r>
          </w:p>
        </w:tc>
        <w:tc>
          <w:tcPr>
            <w:tcW w:type="dxa" w:w="20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Furnace fabrication contract executed; accreditation process formally initiated</w:t>
            </w:r>
          </w:p>
        </w:tc>
      </w:tr>
      <w:tr>
        <w:tc>
          <w:tcPr>
            <w:tcW w:type="dxa" w:w="14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Year 3 — 2028–2029</w:t>
            </w:r>
          </w:p>
        </w:tc>
        <w:tc>
          <w:tcPr>
            <w:tcW w:type="dxa" w:w="1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Phase 2A Build-out + Accreditation</w:t>
            </w:r>
          </w:p>
        </w:tc>
        <w:tc>
          <w:tcPr>
            <w:tcW w:type="dxa" w:w="3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 Furnace fabrication and installation (12–18 months)
• Gas service and smoke abatement installation
• Data acquisition system commissioning
• IAS accreditation assessment
• First internal tests: MgO SIP party wall assemblies W-3 and W-4</w:t>
            </w:r>
          </w:p>
        </w:tc>
        <w:tc>
          <w:tcPr>
            <w:tcW w:type="dxa" w:w="1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$400K–$800K (furnace + infrastructure)</w:t>
            </w:r>
          </w:p>
        </w:tc>
        <w:tc>
          <w:tcPr>
            <w:tcW w:type="dxa" w:w="2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IAS accreditation issued; first Merge4Ward proprietary test completed</w:t>
            </w:r>
          </w:p>
        </w:tc>
      </w:tr>
      <w:tr>
        <w:tc>
          <w:tcPr>
            <w:tcW w:type="dxa" w:w="14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Year 4 — 2029–2030</w:t>
            </w:r>
          </w:p>
        </w:tc>
        <w:tc>
          <w:tcPr>
            <w:tcW w:type="dxa" w:w="16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Third-Party Market Launch</w:t>
            </w:r>
          </w:p>
        </w:tc>
        <w:tc>
          <w:tcPr>
            <w:tcW w:type="dxa" w:w="38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 First third-party client tests
• Mid-Atlantic manufacturer outreach
• Phase 2B (full-scale vertical) capital planning
• UD research partnership agreement executed</w:t>
            </w:r>
          </w:p>
        </w:tc>
        <w:tc>
          <w:tcPr>
            <w:tcW w:type="dxa" w:w="15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$0–$100K (marketing + UD partnership)</w:t>
            </w:r>
          </w:p>
        </w:tc>
        <w:tc>
          <w:tcPr>
            <w:tcW w:type="dxa" w:w="20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25+ external test engagements; lab operating at cash-flow break-even</w:t>
            </w:r>
          </w:p>
        </w:tc>
      </w:tr>
      <w:tr>
        <w:tc>
          <w:tcPr>
            <w:tcW w:type="dxa" w:w="14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Year 5+ — 2030+</w:t>
            </w:r>
          </w:p>
        </w:tc>
        <w:tc>
          <w:tcPr>
            <w:tcW w:type="dxa" w:w="16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Phase 2B + Phase 3 Expansion</w:t>
            </w:r>
          </w:p>
        </w:tc>
        <w:tc>
          <w:tcPr>
            <w:tcW w:type="dxa" w:w="38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 Full-scale vertical furnace addition
• Steiner tunnel (ASTM E84) addition
• Horizontal furnace (Phase 3) capital planning
• Possible ZÜBLIN fire test partnership for US CLT assembly listings</w:t>
            </w:r>
          </w:p>
        </w:tc>
        <w:tc>
          <w:tcPr>
            <w:tcW w:type="dxa" w:w="15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$2M–$5M additional capital</w:t>
            </w:r>
          </w:p>
        </w:tc>
        <w:tc>
          <w:tcPr>
            <w:tcW w:type="dxa" w:w="20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Full-service Mid-Atlantic fire testing laboratory; recognized regional standard-setter</w:t>
            </w:r>
          </w:p>
        </w:tc>
      </w:tr>
    </w:tbl>
    <w:p>
      <w:pPr>
        <w:spacing w:after="160" w:before="0"/>
        <w:jc w:val="left"/>
      </w:pPr>
      <w:r>
        <w:rPr>
          <w:rFonts w:ascii="Arial" w:cs="Arial" w:eastAsia="Arial" w:hAnsi="Arial"/>
          <w:b w:val="false"/>
          <w:bCs w:val="false"/>
          <w:caps w:val="false"/>
          <w:color w:val="1A1A18"/>
          <w:sz w:val="20"/>
          <w:szCs w:val="20"/>
        </w:rPr>
        <w:t xml:space="preserve"/>
      </w:r>
    </w:p>
    <w:p>
      <w:pPr>
        <w:pBdr>
          <w:bottom w:val="single" w:color="196B23" w:sz="8" w:space="4"/>
        </w:pBdr>
        <w:spacing w:after="120" w:before="360"/>
      </w:pPr>
      <w:r>
        <w:rPr>
          <w:rFonts w:ascii="Arial" w:cs="Arial" w:eastAsia="Arial" w:hAnsi="Arial"/>
          <w:b/>
          <w:bCs/>
          <w:caps w:val="false"/>
          <w:color w:val="196B23"/>
          <w:sz w:val="28"/>
          <w:szCs w:val="28"/>
        </w:rPr>
        <w:t xml:space="preserve">G. Feasibility Addendum — Recommendations</w:t>
      </w:r>
    </w:p>
    <w:p>
      <w:pPr>
        <w:spacing w:after="80" w:before="280"/>
      </w:pPr>
      <w:r>
        <w:rPr>
          <w:rFonts w:ascii="Arial" w:cs="Arial" w:eastAsia="Arial" w:hAnsi="Arial"/>
          <w:b/>
          <w:bCs/>
          <w:caps w:val="false"/>
          <w:color w:val="1A1A18"/>
          <w:sz w:val="22"/>
          <w:szCs w:val="22"/>
        </w:rPr>
        <w:t xml:space="preserve">G.1  Proceed to feasibility study — Year 1 action</w:t>
      </w:r>
    </w:p>
    <w:p>
      <w:pPr>
        <w:spacing w:after="100" w:before="0"/>
        <w:jc w:val="left"/>
      </w:pPr>
      <w:r>
        <w:rPr>
          <w:rFonts w:ascii="Arial" w:cs="Arial" w:eastAsia="Arial" w:hAnsi="Arial"/>
          <w:b w:val="false"/>
          <w:bCs w:val="false"/>
          <w:caps w:val="false"/>
          <w:color w:val="1A1A18"/>
          <w:sz w:val="19"/>
          <w:szCs w:val="19"/>
        </w:rPr>
        <w:t xml:space="preserve">The feasibility study is a $0–$50K exercise that answers the three questions needed before committing any capital: (1) Can the Merge4Ward site accommodate a furnace physically and under DNREC air quality regulations? (2) What is the realistic third-party testing market size within 150 miles of Wilmington? (3) Is there a University of Delaware partnership structure that unlocks federal grant eligibility? Commission this study as part of the Year 1 site due diligence process, not as a separate initiative.</w:t>
      </w:r>
    </w:p>
    <w:p>
      <w:pPr>
        <w:spacing w:after="80" w:before="0"/>
        <w:jc w:val="left"/>
      </w:pPr>
      <w:r>
        <w:rPr>
          <w:rFonts w:ascii="Arial" w:cs="Arial" w:eastAsia="Arial" w:hAnsi="Arial"/>
          <w:b w:val="false"/>
          <w:bCs w:val="false"/>
          <w:caps w:val="false"/>
          <w:color w:val="1A1A18"/>
          <w:sz w:val="20"/>
          <w:szCs w:val="20"/>
        </w:rPr>
        <w:t xml:space="preserve"/>
      </w:r>
    </w:p>
    <w:p>
      <w:pPr>
        <w:spacing w:after="80" w:before="280"/>
      </w:pPr>
      <w:r>
        <w:rPr>
          <w:rFonts w:ascii="Arial" w:cs="Arial" w:eastAsia="Arial" w:hAnsi="Arial"/>
          <w:b/>
          <w:bCs/>
          <w:caps w:val="false"/>
          <w:color w:val="1A1A18"/>
          <w:sz w:val="22"/>
          <w:szCs w:val="22"/>
        </w:rPr>
        <w:t xml:space="preserve">G.2  Add fire testing lab to the Merge4Ward capital plan</w:t>
      </w:r>
    </w:p>
    <w:p>
      <w:pPr>
        <w:spacing w:after="100" w:before="0"/>
        <w:jc w:val="left"/>
      </w:pPr>
      <w:r>
        <w:rPr>
          <w:rFonts w:ascii="Arial" w:cs="Arial" w:eastAsia="Arial" w:hAnsi="Arial"/>
          <w:b w:val="false"/>
          <w:bCs w:val="false"/>
          <w:caps w:val="false"/>
          <w:color w:val="1A1A18"/>
          <w:sz w:val="19"/>
          <w:szCs w:val="19"/>
        </w:rPr>
        <w:t xml:space="preserve">The Phase 2A fire testing lab ($400K–$800K) should appear as a named line item in the Merge4Ward capital plan presented to DEDO, EDA, and other grant funders. Its presence signals the breadth of the innovation infrastructure being created, strengthens the job-creation argument, and may unlock grant programs (DOE, NIST) that the manufacturing operation alone does not qualify for. It does not need to be funded in Year 1 to appear in the plan.</w:t>
      </w:r>
    </w:p>
    <w:p>
      <w:pPr>
        <w:spacing w:after="80" w:before="0"/>
        <w:jc w:val="left"/>
      </w:pPr>
      <w:r>
        <w:rPr>
          <w:rFonts w:ascii="Arial" w:cs="Arial" w:eastAsia="Arial" w:hAnsi="Arial"/>
          <w:b w:val="false"/>
          <w:bCs w:val="false"/>
          <w:caps w:val="false"/>
          <w:color w:val="1A1A18"/>
          <w:sz w:val="20"/>
          <w:szCs w:val="20"/>
        </w:rPr>
        <w:t xml:space="preserve"/>
      </w:r>
    </w:p>
    <w:p>
      <w:pPr>
        <w:spacing w:after="80" w:before="280"/>
      </w:pPr>
      <w:r>
        <w:rPr>
          <w:rFonts w:ascii="Arial" w:cs="Arial" w:eastAsia="Arial" w:hAnsi="Arial"/>
          <w:b/>
          <w:bCs/>
          <w:caps w:val="false"/>
          <w:color w:val="1A1A18"/>
          <w:sz w:val="22"/>
          <w:szCs w:val="22"/>
        </w:rPr>
        <w:t xml:space="preserve">G.3  Add to ZÜBLIN partnership narrative</w:t>
      </w:r>
    </w:p>
    <w:p>
      <w:pPr>
        <w:spacing w:after="100" w:before="0"/>
        <w:jc w:val="left"/>
      </w:pPr>
      <w:r>
        <w:rPr>
          <w:rFonts w:ascii="Arial" w:cs="Arial" w:eastAsia="Arial" w:hAnsi="Arial"/>
          <w:b w:val="false"/>
          <w:bCs w:val="false"/>
          <w:caps w:val="false"/>
          <w:color w:val="1A1A18"/>
          <w:sz w:val="19"/>
          <w:szCs w:val="19"/>
        </w:rPr>
        <w:t xml:space="preserve">When the ZÜBLIN outreach occurs in Q3 2026, the fire testing lab initiative should be mentioned — briefly — as part of the Merge4Ward infrastructure vision. ZÜBLIN currently has no US testing infrastructure for its products. A Delaware partner with an accredited ASTM E119 lab could be the entity that obtains US ICC-ES ESR listings for LENO® products, which ZÜBLIN cannot do from Germany. That is a concrete, specific value proposition that transforms the partnership conversation from "we want to be your distributor" to "we are building the infrastructure that lets your products enter the US market."</w:t>
      </w:r>
    </w:p>
    <w:p>
      <w:pPr>
        <w:spacing w:after="80" w:before="0"/>
        <w:jc w:val="left"/>
      </w:pPr>
      <w:r>
        <w:rPr>
          <w:rFonts w:ascii="Arial" w:cs="Arial" w:eastAsia="Arial" w:hAnsi="Arial"/>
          <w:b w:val="false"/>
          <w:bCs w:val="false"/>
          <w:caps w:val="false"/>
          <w:color w:val="1A1A18"/>
          <w:sz w:val="20"/>
          <w:szCs w:val="20"/>
        </w:rPr>
        <w:t xml:space="preserve"/>
      </w:r>
    </w:p>
    <w:p>
      <w:pPr>
        <w:spacing w:after="80" w:before="280"/>
      </w:pPr>
      <w:r>
        <w:rPr>
          <w:rFonts w:ascii="Arial" w:cs="Arial" w:eastAsia="Arial" w:hAnsi="Arial"/>
          <w:b/>
          <w:bCs/>
          <w:caps w:val="false"/>
          <w:color w:val="1A1A18"/>
          <w:sz w:val="22"/>
          <w:szCs w:val="22"/>
        </w:rPr>
        <w:t xml:space="preserve">G.4  Integrate with MgO SIP panel ESR strategy</w:t>
      </w:r>
    </w:p>
    <w:p>
      <w:pPr>
        <w:spacing w:after="100" w:before="0"/>
        <w:jc w:val="left"/>
      </w:pPr>
      <w:r>
        <w:rPr>
          <w:rFonts w:ascii="Arial" w:cs="Arial" w:eastAsia="Arial" w:hAnsi="Arial"/>
          <w:b w:val="false"/>
          <w:bCs w:val="false"/>
          <w:caps w:val="false"/>
          <w:color w:val="1A1A18"/>
          <w:sz w:val="19"/>
          <w:szCs w:val="19"/>
        </w:rPr>
        <w:t xml:space="preserve">The MgO Hybrid SIP panel development program (documented in the Wall Assembly Matrix delivered to Trevor Knight, May 2026) requires ASTM E119 testing for the W-3 and W-4 party wall assemblies before those assemblies can be used in permitted construction. In the near term, that testing will occur at Western Fire Center. In the medium term — as Merge4Ward scales and the panel product line grows — the in-house furnace becomes the natural home for that testing program. The fire testing lab and the MgO SIP panel program are the same investment thesis from different directions: one is infrastructure, one is product. They compound each other.</w:t>
      </w:r>
    </w:p>
    <w:p>
      <w:pPr>
        <w:spacing w:after="160" w:before="0"/>
        <w:jc w:val="left"/>
      </w:pPr>
      <w:r>
        <w:rPr>
          <w:rFonts w:ascii="Arial" w:cs="Arial" w:eastAsia="Arial" w:hAnsi="Arial"/>
          <w:b w:val="false"/>
          <w:bCs w:val="false"/>
          <w:caps w:val="false"/>
          <w:color w:val="1A1A18"/>
          <w:sz w:val="20"/>
          <w:szCs w:val="20"/>
        </w:rPr>
        <w:t xml:space="preserve"/>
      </w:r>
    </w:p>
    <w:p>
      <w:pPr>
        <w:pBdr>
          <w:bottom w:val="single" w:color="196B23" w:sz="8" w:space="4"/>
        </w:pBdr>
        <w:spacing w:after="120" w:before="360"/>
      </w:pPr>
      <w:r>
        <w:rPr>
          <w:rFonts w:ascii="Arial" w:cs="Arial" w:eastAsia="Arial" w:hAnsi="Arial"/>
          <w:b/>
          <w:bCs/>
          <w:caps w:val="false"/>
          <w:color w:val="196B23"/>
          <w:sz w:val="28"/>
          <w:szCs w:val="28"/>
        </w:rPr>
        <w:t xml:space="preserve">H. Attorney Note — Addendum Items</w:t>
      </w:r>
    </w:p>
    <w:p>
      <w:pPr>
        <w:spacing w:after="100" w:before="0"/>
        <w:jc w:val="left"/>
      </w:pPr>
      <w:r>
        <w:rPr>
          <w:rFonts w:ascii="Arial" w:cs="Arial" w:eastAsia="Arial" w:hAnsi="Arial"/>
          <w:b w:val="false"/>
          <w:bCs w:val="false"/>
          <w:caps w:val="false"/>
          <w:color w:val="1A1A18"/>
          <w:sz w:val="19"/>
          <w:szCs w:val="19"/>
        </w:rPr>
        <w:t xml:space="preserve">The following items arising from this feasibility addendum should be added to the attorney agenda for the Merge4Ward entity-formation conversation:</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Entity structure for the fire testing laboratory: should it be a division of Merge4Ward LLC, a separate Merge4Ward Testing LLC, or a separate nonprofit entity (to facilitate UD research partnership and federal grant eligibility as a nonprofit testing lab)?</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IP ownership for test data: who owns the fire test reports and the data generated by internal Merge4Ward product testing? This affects ESR applications and any future data licensing.</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ZÜBLIN partnership structure if fire testing lab is part of the value proposition: a testing lab partnership with STRABAG/ZÜBLIN for US product listings involves different IP and contractual terms than a distribution or manufacturing license agreement.</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Delaware DNREC permit holder: the air quality permit should be held by the entity operating the lab, which may not be the same as the manufacturing entity depending on structure chosen.</w:t>
      </w:r>
    </w:p>
    <w:p>
      <w:pPr>
        <w:spacing w:after="200" w:before="0"/>
        <w:jc w:val="left"/>
      </w:pPr>
      <w:r>
        <w:rPr>
          <w:rFonts w:ascii="Arial" w:cs="Arial" w:eastAsia="Arial" w:hAnsi="Arial"/>
          <w:b w:val="false"/>
          <w:bCs w:val="false"/>
          <w:caps w:val="false"/>
          <w:color w:val="1A1A18"/>
          <w:sz w:val="20"/>
          <w:szCs w:val="20"/>
        </w:rPr>
        <w:t xml:space="preserve"/>
      </w:r>
    </w:p>
    <w:p>
      <w:r>
        <w:br w:type="page"/>
      </w:r>
    </w:p>
    <w:p>
      <w:pPr>
        <w:pBdr>
          <w:bottom w:val="single" w:color="196B23" w:sz="8" w:space="4"/>
        </w:pBdr>
        <w:spacing w:after="120" w:before="360"/>
      </w:pPr>
      <w:r>
        <w:rPr>
          <w:rFonts w:ascii="Arial" w:cs="Arial" w:eastAsia="Arial" w:hAnsi="Arial"/>
          <w:b/>
          <w:bCs/>
          <w:caps w:val="false"/>
          <w:color w:val="196B23"/>
          <w:sz w:val="28"/>
          <w:szCs w:val="28"/>
        </w:rPr>
        <w:t xml:space="preserve">4. Recommendations — ZÜBLIN Strategic Memo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
            </w:r>
          </w:p>
        </w:tc>
        <w:tc>
          <w:tcPr>
            <w:tcW w:type="dxa" w:w="8860"/>
            <w:tcBorders>
              <w:top w:val="single" w:color="196B23" w:sz="8"/>
              <w:left w:val="single" w:color="CCCCCC" w:sz="4"/>
              <w:bottom w:val="single" w:color="196B23" w:sz="8"/>
              <w:right w:val="single" w:color="CCCCCC" w:sz="4"/>
            </w:tcBorders>
            <w:shd w:fill="196B23" w:val="clear"/>
            <w:tcMar>
              <w:top w:type="dxa" w:w="110"/>
              <w:left w:type="dxa" w:w="130"/>
              <w:bottom w:type="dxa" w:w="110"/>
              <w:right w:type="dxa" w:w="130"/>
            </w:tcMar>
          </w:tcPr>
          <w:p>
            <w:pPr>
              <w:spacing w:after="0" w:before="0"/>
              <w:jc w:val="left"/>
            </w:pPr>
            <w:r>
              <w:rPr>
                <w:rFonts w:ascii="Arial" w:cs="Arial" w:eastAsia="Arial" w:hAnsi="Arial"/>
                <w:b/>
                <w:bCs/>
                <w:caps w:val="false"/>
                <w:color w:val="FFFFFF"/>
                <w:sz w:val="18"/>
                <w:szCs w:val="18"/>
              </w:rPr>
              <w:t xml:space="preserve">Recommendation</w:t>
            </w:r>
          </w:p>
        </w:tc>
      </w:tr>
      <w:tr>
        <w:tc>
          <w:tcPr>
            <w:tcW w:type="dxa" w:w="5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One</w:t>
            </w:r>
          </w:p>
        </w:tc>
        <w:tc>
          <w:tcPr>
            <w:tcW w:type="dxa" w:w="88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Hold ZÜBLIN outreach until Q3 2026 (post-Wells Fargo decision and post-Claymont production start), with the Parcel B carve-out activating earlier if RDC engagement advances. Draft the introductory email now and hold it in queue.</w:t>
            </w:r>
          </w:p>
        </w:tc>
      </w:tr>
      <w:tr>
        <w:tc>
          <w:tcPr>
            <w:tcW w:type="dxa" w:w="5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Two</w:t>
            </w:r>
          </w:p>
        </w:tc>
        <w:tc>
          <w:tcPr>
            <w:tcW w:type="dxa" w:w="88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Adopt the ZÜBLIN model logic for Phase 2 and Phase 3 strategic planning: (a) prefab-finished-wall product line beginning Year 2, (b) connector distribution beginning Year 1, (c) MOLENO-equivalent multi-story system targeting WHA pipeline beginning Year 3, (d) curved-CLT signature capability beginning Year 4–5.</w:t>
            </w:r>
          </w:p>
        </w:tc>
      </w:tr>
      <w:tr>
        <w:tc>
          <w:tcPr>
            <w:tcW w:type="dxa" w:w="5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Three</w:t>
            </w:r>
          </w:p>
        </w:tc>
        <w:tc>
          <w:tcPr>
            <w:tcW w:type="dxa" w:w="88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Restructure the Phase 1 site evaluation to consider ultimate Phase-3 footprint at 8–12 acres, not just Phase 1 footprint of 1–6 acres. Brief Trevor and Leo before next OED follow-up.</w:t>
            </w:r>
          </w:p>
        </w:tc>
      </w:tr>
      <w:tr>
        <w:tc>
          <w:tcPr>
            <w:tcW w:type="dxa" w:w="5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Four</w:t>
            </w:r>
          </w:p>
        </w:tc>
        <w:tc>
          <w:tcPr>
            <w:tcW w:type="dxa" w:w="88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Add a strategic-options clause to the Merge4Ward LLC operating agreement covering future product lines, sister entities, and cooperative conversion. Flag for the entity-formation attorney conversation in progress.</w:t>
            </w:r>
          </w:p>
        </w:tc>
      </w:tr>
      <w:tr>
        <w:tc>
          <w:tcPr>
            <w:tcW w:type="dxa" w:w="50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Five</w:t>
            </w:r>
          </w:p>
        </w:tc>
        <w:tc>
          <w:tcPr>
            <w:tcW w:type="dxa" w:w="8860"/>
            <w:tcBorders>
              <w:top w:val="single" w:color="CCCCCC" w:sz="4"/>
              <w:left w:val="single" w:color="CCCCCC" w:sz="4"/>
              <w:bottom w:val="single" w:color="CCCCCC" w:sz="4"/>
              <w:right w:val="single" w:color="CCCCCC" w:sz="4"/>
            </w:tcBorders>
            <w:shd w:fill="FFFFFF"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Do not put 3D concrete printing under the Merge4Ward LLC roof. Form a sister entity under shared ownership and share the campus rather than the operating company.</w:t>
            </w:r>
          </w:p>
        </w:tc>
      </w:tr>
      <w:tr>
        <w:tc>
          <w:tcPr>
            <w:tcW w:type="dxa" w:w="50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Six (New)</w:t>
            </w:r>
          </w:p>
        </w:tc>
        <w:tc>
          <w:tcPr>
            <w:tcW w:type="dxa" w:w="8860"/>
            <w:tcBorders>
              <w:top w:val="single" w:color="CCCCCC" w:sz="4"/>
              <w:left w:val="single" w:color="CCCCCC" w:sz="4"/>
              <w:bottom w:val="single" w:color="CCCCCC" w:sz="4"/>
              <w:right w:val="single" w:color="CCCCCC" w:sz="4"/>
            </w:tcBorders>
            <w:shd w:fill="F5F8F5" w:val="clear"/>
            <w:tcMar>
              <w:top w:type="dxa" w:w="90"/>
              <w:left w:type="dxa" w:w="130"/>
              <w:bottom w:type="dxa" w:w="90"/>
              <w:right w:type="dxa" w:w="130"/>
            </w:tcMar>
            <w:vAlign w:val="top"/>
          </w:tcPr>
          <w:p>
            <w:pPr>
              <w:spacing w:after="0" w:before="0"/>
              <w:jc w:val="left"/>
            </w:pPr>
            <w:r>
              <w:rPr>
                <w:rFonts w:ascii="Arial" w:cs="Arial" w:eastAsia="Arial" w:hAnsi="Arial"/>
                <w:b w:val="false"/>
                <w:bCs w:val="false"/>
                <w:caps w:val="false"/>
                <w:color w:val="1A1A18"/>
                <w:sz w:val="18"/>
                <w:szCs w:val="18"/>
              </w:rPr>
              <w:t xml:space="preserve">Commission the Merge4Ward Fire Testing Laboratory feasibility study as part of Year 1 site due diligence. Add Phase 2A fire testing lab ($400K–$800K) as a named line item in the Merge4Ward capital plan. Include the lab initiative in the ZÜBLIN outreach narrative as a US market-entry infrastructure offer.</w:t>
            </w:r>
          </w:p>
        </w:tc>
      </w:tr>
    </w:tbl>
    <w:p>
      <w:pPr>
        <w:spacing w:after="160" w:before="0"/>
        <w:jc w:val="left"/>
      </w:pPr>
      <w:r>
        <w:rPr>
          <w:rFonts w:ascii="Arial" w:cs="Arial" w:eastAsia="Arial" w:hAnsi="Arial"/>
          <w:b w:val="false"/>
          <w:bCs w:val="false"/>
          <w:caps w:val="false"/>
          <w:color w:val="1A1A18"/>
          <w:sz w:val="20"/>
          <w:szCs w:val="20"/>
        </w:rPr>
        <w:t xml:space="preserve"/>
      </w:r>
    </w:p>
    <w:p>
      <w:pPr>
        <w:pBdr>
          <w:bottom w:val="single" w:color="196B23" w:sz="8" w:space="4"/>
        </w:pBdr>
        <w:spacing w:after="120" w:before="360"/>
      </w:pPr>
      <w:r>
        <w:rPr>
          <w:rFonts w:ascii="Arial" w:cs="Arial" w:eastAsia="Arial" w:hAnsi="Arial"/>
          <w:b/>
          <w:bCs/>
          <w:caps w:val="false"/>
          <w:color w:val="196B23"/>
          <w:sz w:val="28"/>
          <w:szCs w:val="28"/>
        </w:rPr>
        <w:t xml:space="preserve">5. Things to Watch</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STRABAG public announcements — if STRABAG announces a North American expansion strategy at any point in the next eighteen months, the calculus changes immediately and outreach becomes urgent.</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Stora Enso / KLH / ZÜBLIN US partnership signals — if any major European CLT producer announces a US partnership in the Mid-Atlantic, the partnership window for Merge4Ward narrows.</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Intertek or NGC Mid-Atlantic expansion — if either firm announces a new E119 lab in the Philadelphia/Baltimore corridor, the fire testing lab market gap narrows and the timing case accelerates.</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Wilmington OED M4Di pilot response — if the pilot moves forward, that is the strongest credibility signal Merge4Ward could carry into a STRABAG conversation.</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Bensonwood, Entekra, Plant Prefab financial trajectories — useful proxies for what Merge4Ward could realistically achieve at Phase 2/3 horizon. Worth a quarterly news check.</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University of Delaware materials science department — monitor for relevant faculty research programs and grant cycles that could anchor the UD partnership for the fire testing lab.</w:t>
      </w:r>
    </w:p>
    <w:p>
      <w:pPr>
        <w:spacing w:after="160" w:before="0"/>
        <w:jc w:val="left"/>
      </w:pPr>
      <w:r>
        <w:rPr>
          <w:rFonts w:ascii="Arial" w:cs="Arial" w:eastAsia="Arial" w:hAnsi="Arial"/>
          <w:b w:val="false"/>
          <w:bCs w:val="false"/>
          <w:caps w:val="false"/>
          <w:color w:val="1A1A18"/>
          <w:sz w:val="20"/>
          <w:szCs w:val="20"/>
        </w:rPr>
        <w:t xml:space="preserve"/>
      </w:r>
    </w:p>
    <w:p>
      <w:pPr>
        <w:pBdr>
          <w:bottom w:val="single" w:color="196B23" w:sz="8" w:space="4"/>
        </w:pBdr>
        <w:spacing w:after="120" w:before="360"/>
      </w:pPr>
      <w:r>
        <w:rPr>
          <w:rFonts w:ascii="Arial" w:cs="Arial" w:eastAsia="Arial" w:hAnsi="Arial"/>
          <w:b/>
          <w:bCs/>
          <w:caps w:val="false"/>
          <w:color w:val="196B23"/>
          <w:sz w:val="28"/>
          <w:szCs w:val="28"/>
        </w:rPr>
        <w:t xml:space="preserve">6. Attorney Note — Full Memo</w:t>
      </w:r>
    </w:p>
    <w:p>
      <w:pPr>
        <w:spacing w:after="100" w:before="0"/>
        <w:jc w:val="left"/>
      </w:pPr>
      <w:r>
        <w:rPr>
          <w:rFonts w:ascii="Arial" w:cs="Arial" w:eastAsia="Arial" w:hAnsi="Arial"/>
          <w:b w:val="false"/>
          <w:bCs w:val="false"/>
          <w:caps w:val="false"/>
          <w:color w:val="1A1A18"/>
          <w:sz w:val="19"/>
          <w:szCs w:val="19"/>
        </w:rPr>
        <w:t xml:space="preserve">Items from both the original memo and the feasibility addendum that require attorney engagement:</w:t>
      </w:r>
    </w:p>
    <w:p>
      <w:pPr>
        <w:spacing w:after="60" w:before="0"/>
        <w:jc w:val="left"/>
      </w:pPr>
      <w:r>
        <w:rPr>
          <w:rFonts w:ascii="Arial" w:cs="Arial" w:eastAsia="Arial" w:hAnsi="Arial"/>
          <w:b w:val="false"/>
          <w:bCs w:val="false"/>
          <w:caps w:val="false"/>
          <w:color w:val="1A1A18"/>
          <w:sz w:val="20"/>
          <w:szCs w:val="20"/>
        </w:rPr>
        <w:t xml:space="preserve"/>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Merge4Ward LLC operating agreement scope-expansion clause (Section 3.5)</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Sister-entity formation for 3D concrete printing (Section 3.4)</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Phase 2 connector distribution business — Merge4Ward LLC or separate Merge4Ward Distribution LLC (Section 3.3)</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ZÜBLIN technology licensing or partnership structure (Section 2.4)</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Fire testing laboratory entity structure — division, subsidiary, or separate entity (Section H)</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IP ownership for fire test data and ESR applications (Section H)</w:t>
      </w:r>
    </w:p>
    <w:p>
      <w:pPr>
        <w:pStyle w:val="ListParagraph"/>
        <w:numPr>
          <w:ilvl w:val="0"/>
          <w:numId w:val="2"/>
        </w:numPr>
        <w:spacing w:after="80" w:before="0"/>
      </w:pPr>
      <w:r>
        <w:rPr>
          <w:rFonts w:ascii="Arial" w:cs="Arial" w:eastAsia="Arial" w:hAnsi="Arial"/>
          <w:b w:val="false"/>
          <w:bCs w:val="false"/>
          <w:caps w:val="false"/>
          <w:color w:val="1A1A18"/>
          <w:sz w:val="19"/>
          <w:szCs w:val="19"/>
        </w:rPr>
        <w:t xml:space="preserve">DNREC permit holder designation (Section H)</w:t>
      </w:r>
    </w:p>
    <w:p>
      <w:pPr>
        <w:spacing w:after="200" w:before="0"/>
        <w:jc w:val="left"/>
      </w:pPr>
      <w:r>
        <w:rPr>
          <w:rFonts w:ascii="Arial" w:cs="Arial" w:eastAsia="Arial" w:hAnsi="Arial"/>
          <w:b w:val="false"/>
          <w:bCs w:val="false"/>
          <w:caps w:val="false"/>
          <w:color w:val="1A1A18"/>
          <w:sz w:val="20"/>
          <w:szCs w:val="20"/>
        </w:rPr>
        <w:t xml:space="preserve"/>
      </w:r>
    </w:p>
    <w:p>
      <w:pPr>
        <w:pBdr>
          <w:top w:val="single" w:color="CCCCCC" w:sz="4" w:space="6"/>
        </w:pBdr>
        <w:spacing w:after="0" w:before="160"/>
      </w:pPr>
      <w:r>
        <w:rPr>
          <w:rFonts w:ascii="Arial" w:cs="Arial" w:eastAsia="Arial" w:hAnsi="Arial"/>
          <w:b w:val="false"/>
          <w:bCs w:val="false"/>
          <w:caps w:val="false"/>
          <w:color w:val="666666"/>
          <w:sz w:val="16"/>
          <w:szCs w:val="16"/>
        </w:rPr>
        <w:t xml:space="preserve">End of document. Merge4Ward ZÜBLIN Strategic Memo + Fire Testing Laboratory Feasibility Addendum  ·  May 2026  ·  Internal — not for external distribution.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b w:val="false"/>
        <w:bCs w:val="false"/>
        <w:caps w:val="false"/>
        <w:color w:val="AAAAAA"/>
        <w:sz w:val="16"/>
        <w:szCs w:val="16"/>
      </w:rPr>
      <w:t xml:space="preserve">CONFIDENTIAL — INTERNAL USE ONLY  ·  Merge 4 Design LLC  ·  Merge4Ward  ·  Not for external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96B23" w:sz="4" w:space="4"/>
      </w:pBdr>
    </w:pPr>
    <w:r>
      <w:rPr>
        <w:rFonts w:ascii="Arial" w:cs="Arial" w:eastAsia="Arial" w:hAnsi="Arial"/>
        <w:b w:val="false"/>
        <w:bCs w:val="false"/>
        <w:caps w:val="false"/>
        <w:color w:val="666666"/>
        <w:sz w:val="16"/>
        <w:szCs w:val="16"/>
      </w:rPr>
      <w:t xml:space="preserve">Merge4Ward  ·  ZÜBLIN Strategic Memo + Fire Testing Laboratory Feasibility  ·  May 2026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196B23"/>
      <w:sz w:val="28"/>
      <w:szCs w:val="28"/>
    </w:rPr>
  </w:style>
  <w:style w:type="paragraph" w:styleId="Heading2">
    <w:name w:val="Heading 2"/>
    <w:basedOn w:val="Normal"/>
    <w:next w:val="Normal"/>
    <w:pPr>
      <w:spacing w:after="80" w:before="280"/>
      <w:outlineLvl w:val="1"/>
    </w:pPr>
    <w:rPr>
      <w:rFonts w:ascii="Arial" w:cs="Arial" w:eastAsia="Arial" w:hAnsi="Arial"/>
      <w:b/>
      <w:bCs/>
      <w:color w:val="1A1A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2026-05-15T02:53:46.817Z</dcterms:created>
  <dcterms:modified xsi:type="dcterms:W3CDTF">2026-05-15T02:53:46.833Z</dcterms:modified>
</cp:coreProperties>
</file>

<file path=docProps/custom.xml><?xml version="1.0" encoding="utf-8"?>
<Properties xmlns="http://schemas.openxmlformats.org/officeDocument/2006/custom-properties" xmlns:vt="http://schemas.openxmlformats.org/officeDocument/2006/docPropsVTypes"/>
</file>