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96b23"/>
          <w:sz w:val="48"/>
          <w:szCs w:val="48"/>
        </w:rPr>
        <w:t xml:space="preserve">MERGE4WARD LLC</w:t>
      </w:r>
    </w:p>
    <w:p>
      <w:pPr>
        <w:spacing w:after="60" w:before="0"/>
      </w:pPr>
      <w:r>
        <w:rPr>
          <w:rFonts w:ascii="Arial" w:cs="Arial" w:eastAsia="Arial" w:hAnsi="Arial"/>
          <w:b/>
          <w:bCs/>
          <w:color w:val="1a1a1a"/>
          <w:sz w:val="36"/>
          <w:szCs w:val="36"/>
        </w:rPr>
        <w:t xml:space="preserve">Two-Hub Manufacturing Strategy</w:t>
      </w:r>
    </w:p>
    <w:p>
      <w:pPr>
        <w:spacing w:after="40" w:before="0"/>
      </w:pPr>
      <w:r>
        <w:rPr>
          <w:rFonts w:ascii="Arial" w:cs="Arial" w:eastAsia="Arial" w:hAnsi="Arial"/>
          <w:color w:val="555555"/>
          <w:sz w:val="24"/>
          <w:szCs w:val="24"/>
        </w:rPr>
        <w:t xml:space="preserve">Wilmington Hub (Phase 1)  +  Seaford Hub (Phase 2)</w:t>
      </w:r>
    </w:p>
    <w:p>
      <w:pPr>
        <w:pBdr>
          <w:bottom w:val="single" w:color="196b23" w:sz="8" w:space="1"/>
        </w:pBdr>
        <w:spacing w:after="120" w:before="0"/>
      </w:pPr>
    </w:p>
    <w:p>
      <w:pPr>
        <w:spacing w:after="60" w:before="0"/>
      </w:pPr>
      <w:r>
        <w:rPr>
          <w:rFonts w:ascii="Arial" w:cs="Arial" w:eastAsia="Arial" w:hAnsi="Arial"/>
          <w:color w:val="888888"/>
          <w:sz w:val="18"/>
          <w:szCs w:val="18"/>
        </w:rPr>
        <w:t xml:space="preserve">ROM Financial Strategy Memo  ·  </w:t>
      </w:r>
      <w:r>
        <w:rPr>
          <w:rFonts w:ascii="Arial" w:cs="Arial" w:eastAsia="Arial" w:hAnsi="Arial"/>
          <w:color w:val="888888"/>
          <w:sz w:val="18"/>
          <w:szCs w:val="18"/>
        </w:rPr>
        <w:t xml:space="preserve">June 16, 2026  ·  </w:t>
      </w:r>
      <w:r>
        <w:rPr>
          <w:rFonts w:ascii="Arial" w:cs="Arial" w:eastAsia="Arial" w:hAnsi="Arial"/>
          <w:i/>
          <w:iCs/>
          <w:color w:val="888888"/>
          <w:sz w:val="18"/>
          <w:szCs w:val="18"/>
        </w:rPr>
        <w:t xml:space="preserve">Internal — Not for External Distribution</w:t>
      </w:r>
    </w:p>
    <w:p>
      <w:pPr>
        <w:spacing w:after="80" w:before="0"/>
      </w:pPr>
      <w:r>
        <w:rPr>
          <w:rFonts w:ascii="Arial" w:cs="Arial" w:eastAsia="Arial" w:hAnsi="Arial"/>
          <w:color w:val="555555"/>
          <w:sz w:val="18"/>
          <w:szCs w:val="18"/>
        </w:rPr>
        <w:t xml:space="preserve">Prepared by: David Ainsworth, Merge 4 Design LLC / Merge4Ward LLC</w:t>
      </w:r>
    </w:p>
    <w:p>
      <w:pPr>
        <w:spacing w:after="0" w:before="200"/>
      </w:pPr>
    </w:p>
    <w:p>
      <w:pPr>
        <w:pStyle w:val="Heading1"/>
        <w:spacing w:after="60" w:before="360"/>
      </w:pPr>
      <w:r>
        <w:rPr>
          <w:rFonts w:ascii="Arial" w:cs="Arial" w:eastAsia="Arial" w:hAnsi="Arial"/>
          <w:b/>
          <w:bCs/>
          <w:color w:val="196b23"/>
          <w:sz w:val="28"/>
          <w:szCs w:val="28"/>
        </w:rPr>
        <w:t xml:space="preserve">Executive Summary</w:t>
      </w:r>
    </w:p>
    <w:p>
      <w:pPr>
        <w:pBdr>
          <w:bottom w:val="single" w:color="e0e0e0" w:sz="8" w:space="1"/>
        </w:pBdr>
        <w:spacing w:after="120" w:before="0"/>
      </w:pPr>
    </w:p>
    <w:p>
      <w:pPr>
        <w:spacing w:after="80" w:before="40"/>
      </w:pPr>
      <w:r>
        <w:rPr>
          <w:rFonts w:ascii="Arial" w:cs="Arial" w:eastAsia="Arial" w:hAnsi="Arial"/>
          <w:sz w:val="20"/>
          <w:szCs w:val="20"/>
        </w:rPr>
        <w:t xml:space="preserve">Merge4Ward LLC is positioning Delaware as the manufacturing base for the Forward Housing System — a panelized CLT/SIP hybrid construction platform for attainable housing and a 4WardCrete LGS/AAC system for Caribbean and US coastal reconstruction markets.</w:t>
      </w:r>
    </w:p>
    <w:p>
      <w:pPr>
        <w:spacing w:after="0" w:before="40"/>
      </w:pPr>
    </w:p>
    <w:p>
      <w:pPr>
        <w:spacing w:after="80" w:before="40"/>
      </w:pPr>
      <w:r>
        <w:rPr>
          <w:rFonts w:ascii="Arial" w:cs="Arial" w:eastAsia="Arial" w:hAnsi="Arial"/>
          <w:sz w:val="20"/>
          <w:szCs w:val="20"/>
        </w:rPr>
        <w:t xml:space="preserve">The two-hub strategy is not a single capital raise. It is a sequenced build: Wilmington first, at manageable scale, anchored by existing City of Wilmington relationships. Seaford second, conditional on capital triggers that are already in motion. The question is not whether this costs money — it does. The question is whether the sequencing is realistic and the funding paths are credible. They are.</w:t>
      </w:r>
    </w:p>
    <w:p>
      <w:pPr>
        <w:spacing w:after="0" w:before="40"/>
      </w:pPr>
    </w:p>
    <w:p>
      <w:pPr>
        <w:spacing w:after="80" w:before="40"/>
      </w:pPr>
      <w:r>
        <w:rPr>
          <w:rFonts w:ascii="Arial" w:cs="Arial" w:eastAsia="Arial" w:hAnsi="Arial"/>
          <w:sz w:val="20"/>
          <w:szCs w:val="20"/>
        </w:rPr>
        <w:t xml:space="preserve">This memo answers: how much will this cost, in what order, from where, and what has to be true before each commitment is made.</w:t>
      </w:r>
    </w:p>
    <w:p>
      <w:pPr>
        <w:spacing w:after="0" w:before="200"/>
      </w:pPr>
    </w:p>
    <w:p>
      <w:pPr>
        <w:pStyle w:val="Heading1"/>
        <w:spacing w:after="60" w:before="360"/>
      </w:pPr>
      <w:r>
        <w:rPr>
          <w:rFonts w:ascii="Arial" w:cs="Arial" w:eastAsia="Arial" w:hAnsi="Arial"/>
          <w:b/>
          <w:bCs/>
          <w:color w:val="196b23"/>
          <w:sz w:val="28"/>
          <w:szCs w:val="28"/>
        </w:rPr>
        <w:t xml:space="preserve">The Two-Hub Model</w:t>
      </w:r>
    </w:p>
    <w:p>
      <w:pPr>
        <w:pBdr>
          <w:bottom w:val="single" w:color="e0e0e0" w:sz="8" w:space="1"/>
        </w:pBdr>
        <w:spacing w:after="120" w:before="0"/>
      </w:pPr>
    </w:p>
    <w:p>
      <w:pPr>
        <w:spacing w:after="80" w:before="40"/>
      </w:pPr>
      <w:r>
        <w:rPr>
          <w:rFonts w:ascii="Arial" w:cs="Arial" w:eastAsia="Arial" w:hAnsi="Arial"/>
          <w:sz w:val="20"/>
          <w:szCs w:val="20"/>
        </w:rPr>
        <w:t xml:space="preserve">The two hubs are not alternatives. They are complementary facilities serving separate markets:</w:t>
      </w:r>
    </w:p>
    <w:p>
      <w:pPr>
        <w:spacing w:after="0" w:before="40"/>
      </w:pPr>
    </w:p>
    <w:p>
      <w:pPr>
        <w:pStyle w:val="ListParagraph"/>
        <w:numPr>
          <w:ilvl w:val="0"/>
          <w:numId w:val="2"/>
        </w:numPr>
        <w:spacing w:after="20" w:before="20"/>
      </w:pPr>
      <w:r>
        <w:rPr>
          <w:rFonts w:ascii="Arial" w:cs="Arial" w:eastAsia="Arial" w:hAnsi="Arial"/>
          <w:sz w:val="20"/>
          <w:szCs w:val="20"/>
        </w:rPr>
        <w:t xml:space="preserve">Hub 1 — Wilmington: CLT element sequencing, Forward Home SIP panel staging, L.E.E.P. installation crew base, M4Di demonstration facility. Products flow to the Wilmington active housing pipeline. City-supported, grant-eligible, narrative-ready.</w:t>
      </w:r>
    </w:p>
    <w:p>
      <w:pPr>
        <w:pStyle w:val="ListParagraph"/>
        <w:numPr>
          <w:ilvl w:val="0"/>
          <w:numId w:val="2"/>
        </w:numPr>
        <w:spacing w:after="20" w:before="20"/>
      </w:pPr>
      <w:r>
        <w:rPr>
          <w:rFonts w:ascii="Arial" w:cs="Arial" w:eastAsia="Arial" w:hAnsi="Arial"/>
          <w:sz w:val="20"/>
          <w:szCs w:val="20"/>
        </w:rPr>
        <w:t xml:space="preserve">Hub 2 — Seaford: LGS roll-forming for 4WardCrete Caribbean export kits, AAC panel staging, potential Plantd grass-panel co-assembly. Products flow to Port of Wilmington → Jamaica/Costa Rica and US coastal FEMA markets.</w:t>
      </w:r>
    </w:p>
    <w:p>
      <w:pPr>
        <w:spacing w:after="0" w:before="100"/>
      </w:pPr>
    </w:p>
    <w:p>
      <w:pPr>
        <w:spacing w:after="80" w:before="40"/>
      </w:pPr>
      <w:r>
        <w:rPr>
          <w:rFonts w:ascii="Arial" w:cs="Arial" w:eastAsia="Arial" w:hAnsi="Arial"/>
          <w:sz w:val="20"/>
          <w:szCs w:val="20"/>
        </w:rPr>
        <w:t xml:space="preserve">Why this sequence works: Wilmington builds the institutional track record that funds Seaford. City OED adoption of M4Di as cost-verification standard is the proof of institutional validation that every Seaford grant application leads with. The Mayor's letter becomes a Governor's letter. The 10-unit Forward Home cluster becomes the demo project in every NMTC application.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Hub 1 — Wilmington</w:t>
            </w:r>
          </w:p>
        </w:tc>
        <w:tc>
          <w:tcPr>
            <w:tcW w:type="dxa" w:w="26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Hub 2 — Seaford</w:t>
            </w:r>
          </w:p>
        </w:tc>
        <w:tc>
          <w:tcPr>
            <w:tcW w:type="dxa" w:w="26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Timeline</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bCs/>
                <w:color w:val="1a1a1a"/>
                <w:sz w:val="18"/>
                <w:szCs w:val="18"/>
              </w:rPr>
              <w:t xml:space="preserve">Phase 1</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CLT/SIP assembly + Forward Home staging warehouse. L.E.E.P. crew base. M4Di demo facility.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Site selection + feasibility only. No capital commitment.</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Now → Q2 2027</w:t>
            </w:r>
          </w:p>
        </w:tc>
      </w:tr>
      <w:tr>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2</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Full Forward Home production line. M4Di Academy training bays. OED anchor tenant.</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LGS roll-forming + 4WardCrete AAC staging. Phase 1 capital trigger required.</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Q3 2027 → Q4 2028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Port of Wilmington export staging. Caribbean container dispatch hub.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Full 4WardCrete export production. Plantd grass-panel co-assembly (conditional).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2029+</w:t>
            </w:r>
          </w:p>
        </w:tc>
      </w:tr>
    </w:tbl>
    <w:p>
      <w:pPr>
        <w:spacing w:after="0" w:before="200"/>
      </w:pPr>
    </w:p>
    <w:p>
      <w:pPr>
        <w:pStyle w:val="Heading1"/>
        <w:spacing w:after="60" w:before="360"/>
      </w:pPr>
      <w:r>
        <w:rPr>
          <w:rFonts w:ascii="Arial" w:cs="Arial" w:eastAsia="Arial" w:hAnsi="Arial"/>
          <w:b/>
          <w:bCs/>
          <w:color w:val="196b23"/>
          <w:sz w:val="28"/>
          <w:szCs w:val="28"/>
        </w:rPr>
        <w:t xml:space="preserve">Phase 1 — Wilmington Hub</w:t>
      </w:r>
    </w:p>
    <w:p>
      <w:pPr>
        <w:pBdr>
          <w:bottom w:val="single" w:color="e0e0e0" w:sz="8" w:space="1"/>
        </w:pBdr>
        <w:spacing w:after="120" w:before="0"/>
      </w:pPr>
    </w:p>
    <w:p>
      <w:pPr>
        <w:pStyle w:val="Heading2"/>
        <w:spacing w:after="60" w:before="240"/>
      </w:pPr>
      <w:r>
        <w:rPr>
          <w:rFonts w:ascii="Arial" w:cs="Arial" w:eastAsia="Arial" w:hAnsi="Arial"/>
          <w:b/>
          <w:bCs/>
          <w:color w:val="1a1a1a"/>
          <w:sz w:val="24"/>
          <w:szCs w:val="24"/>
        </w:rPr>
        <w:t xml:space="preserve">Purpose and Scope</w:t>
      </w:r>
    </w:p>
    <w:p>
      <w:pPr>
        <w:spacing w:after="80" w:before="40"/>
      </w:pPr>
      <w:r>
        <w:rPr>
          <w:rFonts w:ascii="Arial" w:cs="Arial" w:eastAsia="Arial" w:hAnsi="Arial"/>
          <w:sz w:val="20"/>
          <w:szCs w:val="20"/>
        </w:rPr>
        <w:t xml:space="preserve">Minimum viable function: a leased light industrial facility in the Wilmington, DE market — target 8,000–15,000 SF — capable of CLT element receiving and pre-assembly, SIP Forward Home panel staging and kitting, L.E.E.P. crew staging and training, and M4Di demonstration/presentation capacity.</w:t>
      </w:r>
    </w:p>
    <w:p>
      <w:pPr>
        <w:spacing w:after="0" w:before="40"/>
      </w:pPr>
    </w:p>
    <w:p>
      <w:pPr>
        <w:spacing w:after="80" w:before="40"/>
      </w:pPr>
      <w:r>
        <w:rPr>
          <w:rFonts w:ascii="Arial" w:cs="Arial" w:eastAsia="Arial" w:hAnsi="Arial"/>
          <w:sz w:val="20"/>
          <w:szCs w:val="20"/>
        </w:rPr>
        <w:t xml:space="preserve">This is not a full manufacturing operation in Phase 1. It is a logistics, assembly, and demonstration facility. Capital requirements are accordingly lower. The goal is to establish the physical proof of concept that anchors every subsequent capital conversation.</w:t>
      </w:r>
    </w:p>
    <w:p>
      <w:pPr>
        <w:spacing w:after="0" w:before="80"/>
      </w:pPr>
    </w:p>
    <w:p>
      <w:pPr>
        <w:pStyle w:val="Heading2"/>
        <w:spacing w:after="60" w:before="240"/>
      </w:pPr>
      <w:r>
        <w:rPr>
          <w:rFonts w:ascii="Arial" w:cs="Arial" w:eastAsia="Arial" w:hAnsi="Arial"/>
          <w:b/>
          <w:bCs/>
          <w:color w:val="1a1a1a"/>
          <w:sz w:val="24"/>
          <w:szCs w:val="24"/>
        </w:rPr>
        <w:t xml:space="preserve">Prerequisites (non-negotiable)</w:t>
      </w:r>
    </w:p>
    <w:p>
      <w:pPr>
        <w:pStyle w:val="ListParagraph"/>
        <w:numPr>
          <w:ilvl w:val="0"/>
          <w:numId w:val="2"/>
        </w:numPr>
        <w:spacing w:after="20" w:before="20"/>
      </w:pPr>
      <w:r>
        <w:rPr>
          <w:rFonts w:ascii="Arial" w:cs="Arial" w:eastAsia="Arial" w:hAnsi="Arial"/>
          <w:sz w:val="20"/>
          <w:szCs w:val="20"/>
        </w:rPr>
        <w:t xml:space="preserve">Claymont AE24-002 reaches G4 closeout (target Q4 2026). This is the proof-of-concept project. G4 data feeds the ALDDB, validates the unit cost model, and is the single most important evidence asset for every grant and investor conversation.</w:t>
      </w:r>
    </w:p>
    <w:p>
      <w:pPr>
        <w:pStyle w:val="ListParagraph"/>
        <w:numPr>
          <w:ilvl w:val="0"/>
          <w:numId w:val="2"/>
        </w:numPr>
        <w:spacing w:after="20" w:before="20"/>
      </w:pPr>
      <w:r>
        <w:rPr>
          <w:rFonts w:ascii="Arial" w:cs="Arial" w:eastAsia="Arial" w:hAnsi="Arial"/>
          <w:sz w:val="20"/>
          <w:szCs w:val="20"/>
        </w:rPr>
        <w:t xml:space="preserve">City of Wilmington OED formal MOI or LOI confirming pipeline support. Sean Park letter of support (May 2026) is the foundation — needs to be converted to a programmatic commitment.</w:t>
      </w:r>
    </w:p>
    <w:p>
      <w:pPr>
        <w:pStyle w:val="ListParagraph"/>
        <w:numPr>
          <w:ilvl w:val="0"/>
          <w:numId w:val="2"/>
        </w:numPr>
        <w:spacing w:after="20" w:before="20"/>
      </w:pPr>
      <w:r>
        <w:rPr>
          <w:rFonts w:ascii="Arial" w:cs="Arial" w:eastAsia="Arial" w:hAnsi="Arial"/>
          <w:sz w:val="20"/>
          <w:szCs w:val="20"/>
        </w:rPr>
        <w:t xml:space="preserve">Merge4Ward operating agreement executed and entity governance formalized with all five members.</w:t>
      </w:r>
    </w:p>
    <w:p>
      <w:pPr>
        <w:spacing w:after="0" w:before="80"/>
      </w:pPr>
    </w:p>
    <w:p>
      <w:pPr>
        <w:pStyle w:val="Heading2"/>
        <w:spacing w:after="60" w:before="240"/>
      </w:pPr>
      <w:r>
        <w:rPr>
          <w:rFonts w:ascii="Arial" w:cs="Arial" w:eastAsia="Arial" w:hAnsi="Arial"/>
          <w:b/>
          <w:bCs/>
          <w:color w:val="1a1a1a"/>
          <w:sz w:val="24"/>
          <w:szCs w:val="24"/>
        </w:rPr>
        <w:t xml:space="preserve">ROM Capital Requirement — Phase 1</w:t>
      </w:r>
    </w:p>
    <w:p>
      <w:pPr>
        <w:spacing w:after="8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Cost Item</w:t>
            </w:r>
          </w:p>
        </w:tc>
        <w:tc>
          <w:tcPr>
            <w:tcW w:type="dxa" w:w="18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ROM Amount</w:t>
            </w:r>
          </w:p>
        </w:tc>
        <w:tc>
          <w:tcPr>
            <w:tcW w:type="dxa" w:w="406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Facility lease (12 months, NNN, 10K SF)</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$96K–$144K</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$8–$12/SF industrial lease rate, Wilmington market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Tenant improvements + utility hookup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$50K–$150K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3-phase power, compressed air, loading dock — may be partially City-funded</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Assembly tooling + panel handling equipment</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$75K–$200K</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Forklifts, lifting frames, SIP assembly tables, fastening equipment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CLT receiving + staging infrastructure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$25K–$75K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Storage racking, moisture control, sequencing system</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M4Di demo / presentation build-out</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$30K–$60K</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Full-height section mock-ups, wall assembly display, M4Di OI Terminal kiosk</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Operations staffing (12 months, 2 FTE)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$120K–$180K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Facility manager + L.E.E.P. crew lead. Additional crew = project-by-project.</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Working capital / operating reserve</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$150K–$250K</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3–6 months operating runway before revenue-generating project flow</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Contingency (15%)</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$83K–$152K</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PHASE 1 TOTAL (ROM)</w:t>
            </w:r>
          </w:p>
        </w:tc>
        <w:tc>
          <w:tcPr>
            <w:tcW w:type="dxa" w:w="234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$629K–$1.21M</w:t>
            </w:r>
          </w:p>
        </w:tc>
        <w:tc>
          <w:tcPr>
            <w:tcW w:type="dxa" w:w="234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val="false"/>
                <w:bCs w:val="false"/>
                <w:color w:val="ffffff"/>
                <w:sz w:val="18"/>
                <w:szCs w:val="18"/>
              </w:rPr>
              <w:t xml:space="preserve">Minimum viable: ~$630K. Target funded stack: ~$1.2M with OED + DEDO + WF grant. No equity dilution required at Phase 1 scale.</w:t>
            </w:r>
          </w:p>
        </w:tc>
      </w:tr>
    </w:tbl>
    <w:p>
      <w:pPr>
        <w:spacing w:after="0" w:before="80"/>
      </w:pPr>
    </w:p>
    <w:p>
      <w:pPr>
        <w:spacing w:after="80" w:before="40"/>
        <w:ind w:left="360"/>
      </w:pPr>
      <w:r>
        <w:rPr>
          <w:rFonts w:ascii="Arial" w:cs="Arial" w:eastAsia="Arial" w:hAnsi="Arial"/>
          <w:i/>
          <w:iCs/>
          <w:color w:val="555555"/>
          <w:sz w:val="18"/>
          <w:szCs w:val="18"/>
        </w:rPr>
        <w:t xml:space="preserve">Phase 1 Wilmington can proceed without any of the Phase 2 capital triggers. It should. The Wilmington Hub is the proof that funds Seaford.</w:t>
      </w:r>
    </w:p>
    <w:p>
      <w:pPr>
        <w:spacing w:after="0" w:before="200"/>
      </w:pPr>
    </w:p>
    <w:p>
      <w:pPr>
        <w:pStyle w:val="Heading1"/>
        <w:spacing w:after="60" w:before="360"/>
      </w:pPr>
      <w:r>
        <w:rPr>
          <w:rFonts w:ascii="Arial" w:cs="Arial" w:eastAsia="Arial" w:hAnsi="Arial"/>
          <w:b/>
          <w:bCs/>
          <w:color w:val="196b23"/>
          <w:sz w:val="28"/>
          <w:szCs w:val="28"/>
        </w:rPr>
        <w:t xml:space="preserve">Phase 2 — Seaford Hub</w:t>
      </w:r>
    </w:p>
    <w:p>
      <w:pPr>
        <w:pBdr>
          <w:bottom w:val="single" w:color="e0e0e0" w:sz="8" w:space="1"/>
        </w:pBdr>
        <w:spacing w:after="120" w:before="0"/>
      </w:pPr>
    </w:p>
    <w:p>
      <w:pPr>
        <w:pStyle w:val="Heading2"/>
        <w:spacing w:after="60" w:before="240"/>
      </w:pPr>
      <w:r>
        <w:rPr>
          <w:rFonts w:ascii="Arial" w:cs="Arial" w:eastAsia="Arial" w:hAnsi="Arial"/>
          <w:b/>
          <w:bCs/>
          <w:color w:val="1a1a1a"/>
          <w:sz w:val="24"/>
          <w:szCs w:val="24"/>
        </w:rPr>
        <w:t xml:space="preserve">Purpose and Scope</w:t>
      </w:r>
    </w:p>
    <w:p>
      <w:pPr>
        <w:spacing w:after="80" w:before="40"/>
      </w:pPr>
      <w:r>
        <w:rPr>
          <w:rFonts w:ascii="Arial" w:cs="Arial" w:eastAsia="Arial" w:hAnsi="Arial"/>
          <w:sz w:val="20"/>
          <w:szCs w:val="20"/>
        </w:rPr>
        <w:t xml:space="preserve">Seaford is the production-scale manufacturing operation. LGS roll-forming lines for 4WardCrete Caribbean export kits, AAC panel staging for the Forward Shelter Kit, SIP panel full production (Plantd-faced if partnership executes), and the Sussex County agricultural feedstock supply chain for Plantd grass biomass.</w:t>
      </w:r>
    </w:p>
    <w:p>
      <w:pPr>
        <w:spacing w:after="0" w:before="40"/>
      </w:pPr>
    </w:p>
    <w:p>
      <w:pPr>
        <w:spacing w:after="80" w:before="40"/>
      </w:pPr>
      <w:r>
        <w:rPr>
          <w:rFonts w:ascii="Arial" w:cs="Arial" w:eastAsia="Arial" w:hAnsi="Arial"/>
          <w:sz w:val="20"/>
          <w:szCs w:val="20"/>
        </w:rPr>
        <w:t xml:space="preserve">Phase 1 target: leased light industrial space at 1700 Dulaney St / Western Sussex Business Campus. NOT the INVISTA/DuPont acquisition — that is a Phase 3 or long-term consideration and carries environmental covenant complexity. The Seaford government meeting (currently scheduling) will clarify City appetite and available campus space.</w:t>
      </w:r>
    </w:p>
    <w:p>
      <w:pPr>
        <w:spacing w:after="0" w:before="80"/>
      </w:pPr>
    </w:p>
    <w:p>
      <w:pPr>
        <w:pStyle w:val="Heading2"/>
        <w:spacing w:after="60" w:before="240"/>
      </w:pPr>
      <w:r>
        <w:rPr>
          <w:rFonts w:ascii="Arial" w:cs="Arial" w:eastAsia="Arial" w:hAnsi="Arial"/>
          <w:b/>
          <w:bCs/>
          <w:color w:val="1a1a1a"/>
          <w:sz w:val="24"/>
          <w:szCs w:val="24"/>
        </w:rPr>
        <w:t xml:space="preserve">Capital Triggers — Seaford does not move without at least one of the following:</w:t>
      </w:r>
    </w:p>
    <w:p>
      <w:pPr>
        <w:pStyle w:val="ListParagraph"/>
        <w:numPr>
          <w:ilvl w:val="0"/>
          <w:numId w:val="2"/>
        </w:numPr>
        <w:spacing w:after="20" w:before="20"/>
      </w:pPr>
      <w:r>
        <w:rPr>
          <w:rFonts w:ascii="Arial" w:cs="Arial" w:eastAsia="Arial" w:hAnsi="Arial"/>
          <w:b/>
          <w:bCs/>
          <w:sz w:val="20"/>
          <w:szCs w:val="20"/>
        </w:rPr>
        <w:t xml:space="preserve">TRIGGER A: </w:t>
      </w:r>
      <w:r>
        <w:rPr>
          <w:rFonts w:ascii="Arial" w:cs="Arial" w:eastAsia="Arial" w:hAnsi="Arial"/>
          <w:sz w:val="20"/>
          <w:szCs w:val="20"/>
        </w:rPr>
        <w:t xml:space="preserve">Wells Fargo Housing Innovation Fund Round 3 finalist confirmed (November 2, 2026).</w:t>
      </w:r>
    </w:p>
    <w:p>
      <w:pPr>
        <w:pStyle w:val="ListParagraph"/>
        <w:numPr>
          <w:ilvl w:val="0"/>
          <w:numId w:val="2"/>
        </w:numPr>
        <w:spacing w:after="20" w:before="20"/>
      </w:pPr>
      <w:r>
        <w:rPr>
          <w:rFonts w:ascii="Arial" w:cs="Arial" w:eastAsia="Arial" w:hAnsi="Arial"/>
          <w:b/>
          <w:bCs/>
          <w:sz w:val="20"/>
          <w:szCs w:val="20"/>
        </w:rPr>
        <w:t xml:space="preserve">TRIGGER B: </w:t>
      </w:r>
      <w:r>
        <w:rPr>
          <w:rFonts w:ascii="Arial" w:cs="Arial" w:eastAsia="Arial" w:hAnsi="Arial"/>
          <w:sz w:val="20"/>
          <w:szCs w:val="20"/>
        </w:rPr>
        <w:t xml:space="preserve">NHT/NaRRA Jamaica 50-unit pilot MOU executed (Phase 1: target by Nov 2026).</w:t>
      </w:r>
    </w:p>
    <w:p>
      <w:pPr>
        <w:spacing w:after="0" w:before="40"/>
      </w:pPr>
    </w:p>
    <w:p>
      <w:pPr>
        <w:spacing w:after="80" w:before="40"/>
      </w:pPr>
      <w:r>
        <w:rPr>
          <w:rFonts w:ascii="Arial" w:cs="Arial" w:eastAsia="Arial" w:hAnsi="Arial"/>
          <w:sz w:val="20"/>
          <w:szCs w:val="20"/>
        </w:rPr>
        <w:t xml:space="preserve">These are not arbitrary gates. They are the two events that (a) confirm market validation and (b) generate either grant revenue or advance purchase commitment sufficient to de-risk the Seaford capital stack.</w:t>
      </w:r>
    </w:p>
    <w:p>
      <w:pPr>
        <w:spacing w:after="0" w:before="80"/>
      </w:pPr>
    </w:p>
    <w:p>
      <w:pPr>
        <w:pStyle w:val="Heading2"/>
        <w:spacing w:after="60" w:before="240"/>
      </w:pPr>
      <w:r>
        <w:rPr>
          <w:rFonts w:ascii="Arial" w:cs="Arial" w:eastAsia="Arial" w:hAnsi="Arial"/>
          <w:b/>
          <w:bCs/>
          <w:color w:val="1a1a1a"/>
          <w:sz w:val="24"/>
          <w:szCs w:val="24"/>
        </w:rPr>
        <w:t xml:space="preserve">ROM Capital Requirement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Cost Item</w:t>
            </w:r>
          </w:p>
        </w:tc>
        <w:tc>
          <w:tcPr>
            <w:tcW w:type="dxa" w:w="18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ROM Amount</w:t>
            </w:r>
          </w:p>
        </w:tc>
        <w:tc>
          <w:tcPr>
            <w:tcW w:type="dxa" w:w="406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Seaford facility lease or acquisition (40K–80K SF)</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$400K–$1.2M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Western Sussex Business Campus target. $5–8/SF industrial. 3-phase power + NS rail spur access critical.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LGS roll-forming line (primary 4WardCrete production)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$1.5M–$4M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Automated stud/track/header roll-former + punching system. G90/G235 spec capable.</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AAC panel handling + cutting system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$500K–$1.5M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CNC panel saw + handling gantry for AERCON panels. Export container loading dock integration.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SIP assembly production line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$750K–$2M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Plantd-faced SIP panels if partnership executes. Barricade Thermo-Brace line if not. Press + trim saw + QC station.</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Container packing + export logistics infrastructure</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$200K–$500K</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20/40-ft container staging yard, strapping/blocking tooling, manifest/QR system (M4Di ALDi integration)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Workforce training bays (M4Di Academy integration)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$150K–$350K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LGS framing, AAC panel handling, SIP installation simulation. Del Tech partnership for credentialing.</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Staffing scale-up (12 months, 8–15 FTE)</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$600K–$1.2M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Production manager, line leads, LGS fabricators, AAC technicians, QC inspector, logistics coordinator. $45K–$65K avg.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Working capital / first container inventory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$500K–$1.5M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AERCON panel inventory for first 3–5 Jamaica containers. LGS coil stock. Allura cladding.</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Contingency (15%)</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$690K–$1.7M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1a4480"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PHASE 2 TOTAL (ROM)</w:t>
            </w:r>
          </w:p>
        </w:tc>
        <w:tc>
          <w:tcPr>
            <w:tcW w:type="dxa" w:w="2340"/>
            <w:tcBorders>
              <w:top w:val="single" w:color="cccccc" w:sz="1"/>
              <w:left w:val="single" w:color="cccccc" w:sz="1"/>
              <w:bottom w:val="single" w:color="cccccc" w:sz="1"/>
              <w:right w:val="single" w:color="cccccc" w:sz="1"/>
            </w:tcBorders>
            <w:shd w:fill="1a4480" w:val="clear"/>
            <w:tcMar>
              <w:top w:type="dxa" w:w="80"/>
              <w:left w:type="dxa" w:w="160"/>
              <w:bottom w:type="dxa" w:w="80"/>
              <w:right w:type="dxa" w:w="160"/>
            </w:tcMar>
          </w:tcPr>
          <w:p>
            <w:pPr>
              <w:jc w:val="left"/>
            </w:pPr>
            <w:r>
              <w:rPr>
                <w:rFonts w:ascii="Arial" w:cs="Arial" w:eastAsia="Arial" w:hAnsi="Arial"/>
                <w:b/>
                <w:bCs/>
                <w:color w:val="ffffff"/>
                <w:sz w:val="18"/>
                <w:szCs w:val="18"/>
              </w:rPr>
              <w:t xml:space="preserve">$5.3M–$13.9M</w:t>
            </w:r>
          </w:p>
        </w:tc>
        <w:tc>
          <w:tcPr>
            <w:tcW w:type="dxa" w:w="2340"/>
            <w:tcBorders>
              <w:top w:val="single" w:color="cccccc" w:sz="1"/>
              <w:left w:val="single" w:color="cccccc" w:sz="1"/>
              <w:bottom w:val="single" w:color="cccccc" w:sz="1"/>
              <w:right w:val="single" w:color="cccccc" w:sz="1"/>
            </w:tcBorders>
            <w:shd w:fill="1a4480" w:val="clear"/>
            <w:tcMar>
              <w:top w:type="dxa" w:w="80"/>
              <w:left w:type="dxa" w:w="160"/>
              <w:bottom w:type="dxa" w:w="80"/>
              <w:right w:type="dxa" w:w="160"/>
            </w:tcMar>
          </w:tcPr>
          <w:p>
            <w:pPr>
              <w:jc w:val="left"/>
            </w:pPr>
            <w:r>
              <w:rPr>
                <w:rFonts w:ascii="Arial" w:cs="Arial" w:eastAsia="Arial" w:hAnsi="Arial"/>
                <w:b w:val="false"/>
                <w:bCs w:val="false"/>
                <w:color w:val="ffffff"/>
                <w:sz w:val="18"/>
                <w:szCs w:val="18"/>
              </w:rPr>
              <w:t xml:space="preserve">NMTC + EDA + USDA B&amp;I guarantee are the primary capital vehicles. Plantd co-development agreement reduces M4W share if executed. Do not advance without trigger.</w:t>
            </w:r>
          </w:p>
        </w:tc>
      </w:tr>
    </w:tbl>
    <w:p>
      <w:pPr>
        <w:spacing w:after="0" w:before="200"/>
      </w:pPr>
    </w:p>
    <w:p>
      <w:pPr>
        <w:pStyle w:val="Heading1"/>
        <w:spacing w:after="60" w:before="360"/>
      </w:pPr>
      <w:r>
        <w:rPr>
          <w:rFonts w:ascii="Arial" w:cs="Arial" w:eastAsia="Arial" w:hAnsi="Arial"/>
          <w:b/>
          <w:bCs/>
          <w:color w:val="196b23"/>
          <w:sz w:val="28"/>
          <w:szCs w:val="28"/>
        </w:rPr>
        <w:t xml:space="preserve">Consolidated ROM Capital Stack — All Phases</w:t>
      </w:r>
    </w:p>
    <w:p>
      <w:pPr>
        <w:pBdr>
          <w:bottom w:val="single" w:color="e0e0e0" w:sz="8" w:space="1"/>
        </w:pBdr>
        <w:spacing w:after="120" w:before="0"/>
      </w:pPr>
    </w:p>
    <w:p>
      <w:pPr>
        <w:spacing w:after="80" w:before="40"/>
      </w:pPr>
      <w:r>
        <w:rPr>
          <w:rFonts w:ascii="Arial" w:cs="Arial" w:eastAsia="Arial" w:hAnsi="Arial"/>
          <w:sz w:val="20"/>
          <w:szCs w:val="20"/>
        </w:rPr>
        <w:t xml:space="preserve">The following table consolidates all funding sources across both hubs, sequenced by phase. This is the answer to the question: where is the money coming from?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60"/>
        <w:gridCol w:w="2800"/>
      </w:tblGrid>
      <w:tr>
        <w:trPr>
          <w:tblHeader/>
        </w:trPr>
        <w:tc>
          <w:tcPr>
            <w:tcW w:type="dxa" w:w="22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Source</w:t>
            </w:r>
          </w:p>
        </w:tc>
        <w:tc>
          <w:tcPr>
            <w:tcW w:type="dxa" w:w="20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Amount (ROM)</w:t>
            </w:r>
          </w:p>
        </w:tc>
        <w:tc>
          <w:tcPr>
            <w:tcW w:type="dxa" w:w="236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Notes / Trigger</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City of Wilmington OED — Site + Infra</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$200K–$500K</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1</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OED relationship active; M4Di adopted as cost-verification standard. Mayor narrative: Wilmington jobs building Wilmington housing.</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Delaware DEDO Strategic Fund</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$250K–$1M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Manufacturing jobs at $45K+/yr = strong eligibility. Direct grant/loan.</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Wells Fargo Housing Innovation Fund</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$500K–$1M</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1</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Round 3 finalist status (Nov 2026) = trigger. Evidence file: workforce metrics, OED letter, Claymont POC.</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Enterprise Community Partners</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$250K–$750K</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Affordable housing manufacturing + workforce development framing.</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L.E.E.P. / Merge4Ward Equity</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$150K–$300K</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1</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Five founding members + L.E.E.P. workforce asset. Sweat equity in kind for facility prep and installation operations.</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DEMEP + DE Sustainable Chemistry Alliance</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$75K–$250K</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Manufacturing process development + sustainable materials grants. CLT/SIP carbon profile = strong fit.</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Longwood Foundation (DE)</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$250K–$750K</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1</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Sustainable development + community economic benefit. Manufacturing workforce development = compelling narrative.</w:t>
            </w:r>
          </w:p>
        </w:tc>
      </w:tr>
      <w:tr>
        <w:tc>
          <w:tcPr>
            <w:tcW w:type="dxa" w:w="234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PHASE 1 WILMINGTON TOTAL (ROM)</w:t>
            </w:r>
          </w:p>
        </w:tc>
        <w:tc>
          <w:tcPr>
            <w:tcW w:type="dxa" w:w="234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$1.7M–$4.5M</w:t>
            </w:r>
          </w:p>
        </w:tc>
        <w:tc>
          <w:tcPr>
            <w:tcW w:type="dxa" w:w="234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Now → Q2 2027</w:t>
            </w:r>
          </w:p>
        </w:tc>
        <w:tc>
          <w:tcPr>
            <w:tcW w:type="dxa" w:w="234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val="false"/>
                <w:bCs w:val="false"/>
                <w:color w:val="ffffff"/>
                <w:sz w:val="18"/>
                <w:szCs w:val="18"/>
              </w:rPr>
              <w:t xml:space="preserve">Minimum viable: ~$1.2M. Target stack: ~$3M. Facility target: leased light industrial.</w:t>
            </w:r>
          </w:p>
        </w:tc>
      </w:tr>
      <w:tr>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EDA Build to Scale / Regional Tech</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$500K–$2M</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2</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Advanced manufacturing in economically distressed region. Delaware NCC + Sussex census tracts qualify.</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DOE Building Technologies Office</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$1M–$5M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2</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CLT/4WardCrete advanced building materials. Requires university research partner (UD, Delaware State, Drexel).</w:t>
            </w:r>
          </w:p>
        </w:tc>
      </w:tr>
      <w:tr>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USDA B&amp;I Loan Guarantee</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Up to $25M (guarantee)</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2</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De-risks construction lending for Seaford facility. Not a grant — reduces debt cost of capital.</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NMTC Tax Credit Equity (via CDE partner)</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$15M–$40M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2</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Qualified Delaware census tract + job creation + workforce development. LISC or Reinvestment Fund as CDE partner. Year 3–4 realistic.</w:t>
            </w:r>
          </w:p>
        </w:tc>
      </w:tr>
      <w:tr>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NHT/NaRRA Jamaica Pilot Revenue</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$500K–$2M (advance)</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2</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50-unit pilot proposal for St. Elizabeth recovery zone. MOU execution = Seaford capital trigger alongside WF Round 3.</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Plantd Co-Development Agreement (conditional)</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TBD — capital + facility</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2</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If Plantd co-location at Seaford executes: Plantd brings $47.5M raised capital and manufacturing technology. M4Di provides DE government relationships and Port of Wilmington access. Co-development on AC04 SIP testing ~$30K–$60K shared.</w:t>
            </w:r>
          </w:p>
        </w:tc>
      </w:tr>
      <w:tr>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EDA Public Works &amp; Econ Adjustment</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$500K–$2M</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2</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Infrastructure: utilities, site prep, rail/port access improvements at Seaford facility. Nanticoke River + NS rail spur = strong case.</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JPMorgan Chase AdvancingCities</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$500K–$1M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2</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Workforce development + economic mobility. Manufacturing jobs at living wage with training program. Post-INVISTA economic recovery narrative is compelling.</w:t>
            </w:r>
          </w:p>
        </w:tc>
      </w:tr>
      <w:tr>
        <w:tc>
          <w:tcPr>
            <w:tcW w:type="dxa" w:w="2340"/>
            <w:tcBorders>
              <w:top w:val="single" w:color="cccccc" w:sz="1"/>
              <w:left w:val="single" w:color="cccccc" w:sz="1"/>
              <w:bottom w:val="single" w:color="cccccc" w:sz="1"/>
              <w:right w:val="single" w:color="cccccc" w:sz="1"/>
            </w:tcBorders>
            <w:shd w:fill="1a4480"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PHASE 2 SEAFORD TOTAL (ROM)</w:t>
            </w:r>
          </w:p>
        </w:tc>
        <w:tc>
          <w:tcPr>
            <w:tcW w:type="dxa" w:w="2340"/>
            <w:tcBorders>
              <w:top w:val="single" w:color="cccccc" w:sz="1"/>
              <w:left w:val="single" w:color="cccccc" w:sz="1"/>
              <w:bottom w:val="single" w:color="cccccc" w:sz="1"/>
              <w:right w:val="single" w:color="cccccc" w:sz="1"/>
            </w:tcBorders>
            <w:shd w:fill="1a4480" w:val="clear"/>
            <w:tcMar>
              <w:top w:type="dxa" w:w="80"/>
              <w:left w:type="dxa" w:w="160"/>
              <w:bottom w:type="dxa" w:w="80"/>
              <w:right w:type="dxa" w:w="160"/>
            </w:tcMar>
          </w:tcPr>
          <w:p>
            <w:pPr>
              <w:jc w:val="left"/>
            </w:pPr>
            <w:r>
              <w:rPr>
                <w:rFonts w:ascii="Arial" w:cs="Arial" w:eastAsia="Arial" w:hAnsi="Arial"/>
                <w:b/>
                <w:bCs/>
                <w:color w:val="ffffff"/>
                <w:sz w:val="18"/>
                <w:szCs w:val="18"/>
              </w:rPr>
              <w:t xml:space="preserve">$18M–$52M</w:t>
            </w:r>
          </w:p>
        </w:tc>
        <w:tc>
          <w:tcPr>
            <w:tcW w:type="dxa" w:w="2340"/>
            <w:tcBorders>
              <w:top w:val="single" w:color="cccccc" w:sz="1"/>
              <w:left w:val="single" w:color="cccccc" w:sz="1"/>
              <w:bottom w:val="single" w:color="cccccc" w:sz="1"/>
              <w:right w:val="single" w:color="cccccc" w:sz="1"/>
            </w:tcBorders>
            <w:shd w:fill="1a4480" w:val="clear"/>
            <w:tcMar>
              <w:top w:type="dxa" w:w="80"/>
              <w:left w:type="dxa" w:w="160"/>
              <w:bottom w:type="dxa" w:w="80"/>
              <w:right w:type="dxa" w:w="160"/>
            </w:tcMar>
          </w:tcPr>
          <w:p>
            <w:pPr>
              <w:jc w:val="left"/>
            </w:pPr>
            <w:r>
              <w:rPr>
                <w:rFonts w:ascii="Arial" w:cs="Arial" w:eastAsia="Arial" w:hAnsi="Arial"/>
                <w:b/>
                <w:bCs/>
                <w:color w:val="ffffff"/>
                <w:sz w:val="18"/>
                <w:szCs w:val="18"/>
              </w:rPr>
              <w:t xml:space="preserve">Q3 2027 → Q4 2028</w:t>
            </w:r>
          </w:p>
        </w:tc>
        <w:tc>
          <w:tcPr>
            <w:tcW w:type="dxa" w:w="2340"/>
            <w:tcBorders>
              <w:top w:val="single" w:color="cccccc" w:sz="1"/>
              <w:left w:val="single" w:color="cccccc" w:sz="1"/>
              <w:bottom w:val="single" w:color="cccccc" w:sz="1"/>
              <w:right w:val="single" w:color="cccccc" w:sz="1"/>
            </w:tcBorders>
            <w:shd w:fill="1a4480" w:val="clear"/>
            <w:tcMar>
              <w:top w:type="dxa" w:w="80"/>
              <w:left w:type="dxa" w:w="160"/>
              <w:bottom w:type="dxa" w:w="80"/>
              <w:right w:type="dxa" w:w="160"/>
            </w:tcMar>
          </w:tcPr>
          <w:p>
            <w:pPr>
              <w:jc w:val="left"/>
            </w:pPr>
            <w:r>
              <w:rPr>
                <w:rFonts w:ascii="Arial" w:cs="Arial" w:eastAsia="Arial" w:hAnsi="Arial"/>
                <w:b w:val="false"/>
                <w:bCs w:val="false"/>
                <w:color w:val="ffffff"/>
                <w:sz w:val="18"/>
                <w:szCs w:val="18"/>
              </w:rPr>
              <w:t xml:space="preserve">NMTC is the primary Phase 2 capital vehicle. Conditional on: Wells Fargo Round 3 finalist OR NHT/NaRRA MOU. Do not advance Seaford without at least one trigger.</w:t>
            </w:r>
          </w:p>
        </w:tc>
      </w:tr>
      <w:tr>
        <w:tc>
          <w:tcPr>
            <w:tcW w:type="dxa" w:w="234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pPr>
              <w:jc w:val="left"/>
            </w:pPr>
            <w:r>
              <w:rPr>
                <w:rFonts w:ascii="Arial" w:cs="Arial" w:eastAsia="Arial" w:hAnsi="Arial"/>
                <w:b/>
                <w:bCs/>
                <w:color w:val="ffffff"/>
                <w:sz w:val="18"/>
                <w:szCs w:val="18"/>
              </w:rPr>
              <w:t xml:space="preserve">COMBINED CAPITAL STACK (ROM)</w:t>
            </w:r>
          </w:p>
        </w:tc>
        <w:tc>
          <w:tcPr>
            <w:tcW w:type="dxa" w:w="234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pPr>
              <w:jc w:val="left"/>
            </w:pPr>
            <w:r>
              <w:rPr>
                <w:rFonts w:ascii="Arial" w:cs="Arial" w:eastAsia="Arial" w:hAnsi="Arial"/>
                <w:b/>
                <w:bCs/>
                <w:color w:val="ffffff"/>
                <w:sz w:val="18"/>
                <w:szCs w:val="18"/>
              </w:rPr>
              <w:t xml:space="preserve">$20M–$56M</w:t>
            </w:r>
          </w:p>
        </w:tc>
        <w:tc>
          <w:tcPr>
            <w:tcW w:type="dxa" w:w="234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pPr>
              <w:jc w:val="left"/>
            </w:pPr>
            <w:r>
              <w:rPr>
                <w:rFonts w:ascii="Arial" w:cs="Arial" w:eastAsia="Arial" w:hAnsi="Arial"/>
                <w:b/>
                <w:bCs/>
                <w:color w:val="ffffff"/>
                <w:sz w:val="18"/>
                <w:szCs w:val="18"/>
              </w:rPr>
              <w:t xml:space="preserve">Both Phases</w:t>
            </w:r>
          </w:p>
        </w:tc>
        <w:tc>
          <w:tcPr>
            <w:tcW w:type="dxa" w:w="234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pPr>
              <w:jc w:val="left"/>
            </w:pPr>
            <w:r>
              <w:rPr>
                <w:rFonts w:ascii="Arial" w:cs="Arial" w:eastAsia="Arial" w:hAnsi="Arial"/>
                <w:b w:val="false"/>
                <w:bCs w:val="false"/>
                <w:color w:val="ffffff"/>
                <w:sz w:val="18"/>
                <w:szCs w:val="18"/>
              </w:rPr>
              <w:t xml:space="preserve">Phase 1 advances independently. Phase 2 is conditional. Not a single raise — a sequenced stack built over 36–48 months.</w:t>
            </w:r>
          </w:p>
        </w:tc>
      </w:tr>
    </w:tbl>
    <w:p>
      <w:pPr>
        <w:spacing w:after="0" w:before="80"/>
      </w:pPr>
    </w:p>
    <w:p>
      <w:pPr>
        <w:spacing w:after="80" w:before="40"/>
        <w:ind w:left="360"/>
      </w:pPr>
      <w:r>
        <w:rPr>
          <w:rFonts w:ascii="Arial" w:cs="Arial" w:eastAsia="Arial" w:hAnsi="Arial"/>
          <w:i/>
          <w:iCs/>
          <w:color w:val="555555"/>
          <w:sz w:val="18"/>
          <w:szCs w:val="18"/>
        </w:rPr>
        <w:t xml:space="preserve">ROM = Rough Order of Magnitude. Figures represent realistic ranges based on published program parameters, not precise applications. Individual amounts will be refined as each source application is developed. Totals are not additive — Phase 1 and Phase 2 are funded from separate source pools.</w:t>
      </w:r>
    </w:p>
    <w:p>
      <w:pPr>
        <w:spacing w:after="0" w:before="200"/>
      </w:pPr>
    </w:p>
    <w:p>
      <w:pPr>
        <w:pStyle w:val="Heading1"/>
        <w:spacing w:after="60" w:before="360"/>
      </w:pPr>
      <w:r>
        <w:rPr>
          <w:rFonts w:ascii="Arial" w:cs="Arial" w:eastAsia="Arial" w:hAnsi="Arial"/>
          <w:b/>
          <w:bCs/>
          <w:color w:val="196b23"/>
          <w:sz w:val="28"/>
          <w:szCs w:val="28"/>
        </w:rPr>
        <w:t xml:space="preserve">Implementation Sequence — What Has to Happen in What Order</w:t>
      </w:r>
    </w:p>
    <w:p>
      <w:pPr>
        <w:pBdr>
          <w:bottom w:val="single" w:color="e0e0e0" w:sz="8"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rPr>
          <w:tblHeader/>
        </w:trPr>
        <w:tc>
          <w:tcPr>
            <w:tcW w:type="dxa" w:w="14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Window</w:t>
            </w:r>
          </w:p>
        </w:tc>
        <w:tc>
          <w:tcPr>
            <w:tcW w:type="dxa" w:w="22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Milestone</w:t>
            </w:r>
          </w:p>
        </w:tc>
        <w:tc>
          <w:tcPr>
            <w:tcW w:type="dxa" w:w="34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Capital / Decision</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Now–Q3 2026</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Claymont G4 prep + entity governance</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Complete CR-01–CR-04 AHJ comments. Panel installation June 22. Merge4Ward operating agreement executed. Leo: Seaford site study (3 candidates). Trevor: 4WardCrete brand narrative.</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No capital commitment yet. Governance and evidence-building only.</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Q3 2026</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Trigger evaluation + grant filing</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Wells Fargo evidence file complete. DEDO Strategic Fund application. Longwood Foundation inquiry. OED formal LOI request. Seaford government meeting + campus tour.</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DEDO application: $0 cost. Grant writing: internal.</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Q4 2026</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Claymont G4 closeout + WF Round 3 result</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G4 closeout feeds ALDDB. WF Round 3 finalist announced Nov 2. If triggered: execute Seaford site LOI, begin Phase 2 NMTC pre-application. If not triggered: proceed with Wilmington only, no Seaford commitment.</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WF Round 3 finalist = Seaford capital trigger activated. Governor of DE meeting: one-pager drafted.</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Q1–Q2 2027</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Wilmington Hub launch</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Lease signed, facility fit-out, equipment procurement, M4Di demo build-out. L.E.E.P. crew base operational. First Forward Home unit in production.</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$630K–$1.2M Phase 1 stack deployed. City, DEDO, WF/Enterprise grants.</w:t>
            </w:r>
          </w:p>
        </w:tc>
      </w:tr>
      <w:tr>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Q3 2027</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Seaford Phase 2 decision point</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If both triggers confirmed: execute Seaford lease, begin NMTC application, LGS equipment procurement. Plantd conversation advances. University research partner for DOE application identified.</w:t>
            </w:r>
          </w:p>
        </w:tc>
        <w:tc>
          <w:tcPr>
            <w:tcW w:type="dxa" w:w="2340"/>
            <w:tcBorders>
              <w:top w:val="single" w:color="cccccc" w:sz="1"/>
              <w:left w:val="single" w:color="cccccc" w:sz="1"/>
              <w:bottom w:val="single" w:color="cccccc" w:sz="1"/>
              <w:right w:val="single" w:color="cccccc" w:sz="1"/>
            </w:tcBorders>
            <w:shd w:fill="dce8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$5.3M–$13.9M Phase 2 stack begins. NMTC is primary vehicle. USDA B&amp;I guarantee filed.</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2028–2029</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Full operations + Phase 3 export</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Seaford production at capacity. First Jamaica containers dispatched. Port of Wilmington export staging (Phase 3) activated. Forward Home 10-unit clusters: 3–5 per year from Wilmington Hub.</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Revenue-generating. Equity recycling cycle active. Investor memo live.</w:t>
            </w:r>
          </w:p>
        </w:tc>
      </w:tr>
    </w:tbl>
    <w:p>
      <w:pPr>
        <w:spacing w:after="0" w:before="200"/>
      </w:pPr>
    </w:p>
    <w:p>
      <w:pPr>
        <w:pStyle w:val="Heading1"/>
        <w:spacing w:after="60" w:before="360"/>
      </w:pPr>
      <w:r>
        <w:rPr>
          <w:rFonts w:ascii="Arial" w:cs="Arial" w:eastAsia="Arial" w:hAnsi="Arial"/>
          <w:b/>
          <w:bCs/>
          <w:color w:val="196b23"/>
          <w:sz w:val="28"/>
          <w:szCs w:val="28"/>
        </w:rPr>
        <w:t xml:space="preserve">Key Risks and Mitigations</w:t>
      </w:r>
    </w:p>
    <w:p>
      <w:pPr>
        <w:pBdr>
          <w:bottom w:val="single" w:color="e0e0e0" w:sz="8"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Risk</w:t>
            </w:r>
          </w:p>
        </w:tc>
        <w:tc>
          <w:tcPr>
            <w:tcW w:type="dxa" w:w="14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Likelihood</w:t>
            </w:r>
          </w:p>
        </w:tc>
        <w:tc>
          <w:tcPr>
            <w:tcW w:type="dxa" w:w="14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Impact</w:t>
            </w:r>
          </w:p>
        </w:tc>
        <w:tc>
          <w:tcPr>
            <w:tcW w:type="dxa" w:w="376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Seaford capital triggers fail (no WF Round 3 + no NaRRA MOU)</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val="false"/>
                <w:bCs w:val="false"/>
                <w:color w:val="1a1a1a"/>
                <w:sz w:val="18"/>
                <w:szCs w:val="18"/>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val="false"/>
                <w:bCs w:val="false"/>
                <w:color w:val="cc3300"/>
                <w:sz w:val="18"/>
                <w:szCs w:val="18"/>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1 Wilmington proceeds regardless. Seaford deferred, not abandoned. EDA + USDA path remains open.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INVISTA site environmental covenants restrict usable space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val="false"/>
                <w:bCs w:val="false"/>
                <w:color w:val="1a1a1a"/>
                <w:sz w:val="18"/>
                <w:szCs w:val="18"/>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val="false"/>
                <w:bCs w:val="false"/>
                <w:color w:val="1a1a1a"/>
                <w:sz w:val="18"/>
                <w:szCs w:val="18"/>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Phase 1 Seaford target = leased light industrial (1700 Dulaney St / Western Sussex Business Campus), not INVISTA acquisition. Government meeting will clarify.</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Plantd pricing not viable for SIP co-development</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val="false"/>
                <w:bCs w:val="false"/>
                <w:color w:val="1a1a1a"/>
                <w:sz w:val="18"/>
                <w:szCs w:val="18"/>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val="false"/>
                <w:bCs w:val="false"/>
                <w:color w:val="1a1a1a"/>
                <w:sz w:val="18"/>
                <w:szCs w:val="18"/>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Plantd conversation is a product supply and co-location pitch, not a dependency. Forward Home SIP system (Barricade Thermo-Brace) is already specified.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CLT market demand in Mid-Atlantic slower than projected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val="false"/>
                <w:bCs w:val="false"/>
                <w:color w:val="1a1a1a"/>
                <w:sz w:val="18"/>
                <w:szCs w:val="18"/>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val="false"/>
                <w:bCs w:val="false"/>
                <w:color w:val="1a1a1a"/>
                <w:sz w:val="18"/>
                <w:szCs w:val="18"/>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M4Di own project pipeline is anchor customer. Minimum viable scale = panel assembly and staging, not vertical integration. Do not overbuild Phase 1.</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Founder attention divided during critical Phase 1 window</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val="false"/>
                <w:bCs w:val="false"/>
                <w:color w:val="cc3300"/>
                <w:sz w:val="18"/>
                <w:szCs w:val="18"/>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val="false"/>
                <w:bCs w:val="false"/>
                <w:color w:val="cc3300"/>
                <w:sz w:val="18"/>
                <w:szCs w:val="18"/>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Sequencing is the primary control. Claymont G4 closeout (Q4 2026) is the prerequisite for activating manufacturing operations. No Phase 1 capital commitment before G4.</w:t>
            </w:r>
          </w:p>
        </w:tc>
      </w:tr>
    </w:tbl>
    <w:p>
      <w:pPr>
        <w:spacing w:after="0" w:before="200"/>
      </w:pPr>
    </w:p>
    <w:p>
      <w:pPr>
        <w:pStyle w:val="Heading1"/>
        <w:spacing w:after="60" w:before="360"/>
      </w:pPr>
      <w:r>
        <w:rPr>
          <w:rFonts w:ascii="Arial" w:cs="Arial" w:eastAsia="Arial" w:hAnsi="Arial"/>
          <w:b/>
          <w:bCs/>
          <w:color w:val="196b23"/>
          <w:sz w:val="28"/>
          <w:szCs w:val="28"/>
        </w:rPr>
        <w:t xml:space="preserve">What We Are Not Doing</w:t>
      </w:r>
    </w:p>
    <w:p>
      <w:pPr>
        <w:pBdr>
          <w:bottom w:val="single" w:color="e0e0e0" w:sz="8" w:space="1"/>
        </w:pBdr>
        <w:spacing w:after="120" w:before="0"/>
      </w:pPr>
    </w:p>
    <w:p>
      <w:pPr>
        <w:spacing w:after="80" w:before="40"/>
      </w:pPr>
      <w:r>
        <w:rPr>
          <w:rFonts w:ascii="Arial" w:cs="Arial" w:eastAsia="Arial" w:hAnsi="Arial"/>
          <w:sz w:val="20"/>
          <w:szCs w:val="20"/>
        </w:rPr>
        <w:t xml:space="preserve">Several common moves that look attractive are not in this strategy:</w:t>
      </w:r>
    </w:p>
    <w:p>
      <w:pPr>
        <w:spacing w:after="0" w:before="40"/>
      </w:pPr>
    </w:p>
    <w:p>
      <w:pPr>
        <w:pStyle w:val="ListParagraph"/>
        <w:numPr>
          <w:ilvl w:val="0"/>
          <w:numId w:val="2"/>
        </w:numPr>
        <w:spacing w:after="20" w:before="20"/>
      </w:pPr>
      <w:r>
        <w:rPr>
          <w:rFonts w:ascii="Arial" w:cs="Arial" w:eastAsia="Arial" w:hAnsi="Arial"/>
          <w:sz w:val="20"/>
          <w:szCs w:val="20"/>
        </w:rPr>
        <w:t xml:space="preserve">We are not acquiring the INVISTA/DuPont Seaford campus. Environmental covenants restrict groundwater and residential use on designated parcels. Phase 1 Seaford = leased light industrial. The government meeting will determine whether any INVISTA space is usable on a phased basis, but acquisition is not a precondition.</w:t>
      </w:r>
    </w:p>
    <w:p>
      <w:pPr>
        <w:pStyle w:val="ListParagraph"/>
        <w:numPr>
          <w:ilvl w:val="0"/>
          <w:numId w:val="2"/>
        </w:numPr>
        <w:spacing w:after="20" w:before="20"/>
      </w:pPr>
      <w:r>
        <w:rPr>
          <w:rFonts w:ascii="Arial" w:cs="Arial" w:eastAsia="Arial" w:hAnsi="Arial"/>
          <w:sz w:val="20"/>
          <w:szCs w:val="20"/>
        </w:rPr>
        <w:t xml:space="preserve">We are not building a full vertical manufacturing operation in Wilmington. Phase 1 is assembly, staging, and demonstration — not production at scale. Scale comes after the market demand is proven.</w:t>
      </w:r>
    </w:p>
    <w:p>
      <w:pPr>
        <w:pStyle w:val="ListParagraph"/>
        <w:numPr>
          <w:ilvl w:val="0"/>
          <w:numId w:val="2"/>
        </w:numPr>
        <w:spacing w:after="20" w:before="20"/>
      </w:pPr>
      <w:r>
        <w:rPr>
          <w:rFonts w:ascii="Arial" w:cs="Arial" w:eastAsia="Arial" w:hAnsi="Arial"/>
          <w:sz w:val="20"/>
          <w:szCs w:val="20"/>
        </w:rPr>
        <w:t xml:space="preserve">We are not waiting for all funding to be in place before starting. Phase 1 Wilmington proceeds when the Phase 1 stack (~$630K minimum) is committed. Phase 2 Seaford waits for triggers. These are independent decisions.</w:t>
      </w:r>
    </w:p>
    <w:p>
      <w:pPr>
        <w:pStyle w:val="ListParagraph"/>
        <w:numPr>
          <w:ilvl w:val="0"/>
          <w:numId w:val="2"/>
        </w:numPr>
        <w:spacing w:after="20" w:before="20"/>
      </w:pPr>
      <w:r>
        <w:rPr>
          <w:rFonts w:ascii="Arial" w:cs="Arial" w:eastAsia="Arial" w:hAnsi="Arial"/>
          <w:sz w:val="20"/>
          <w:szCs w:val="20"/>
        </w:rPr>
        <w:t xml:space="preserve">We are not leading with Plantd in the Seaford conversation. Plantd is a compelling strategic partner but is not a prerequisite. The manufacturing model is functional without them. The conversation strategy: M4D credibility first, product supply second, co-location third.</w:t>
      </w:r>
    </w:p>
    <w:p>
      <w:pPr>
        <w:pStyle w:val="ListParagraph"/>
        <w:numPr>
          <w:ilvl w:val="0"/>
          <w:numId w:val="2"/>
        </w:numPr>
        <w:spacing w:after="20" w:before="20"/>
      </w:pPr>
      <w:r>
        <w:rPr>
          <w:rFonts w:ascii="Arial" w:cs="Arial" w:eastAsia="Arial" w:hAnsi="Arial"/>
          <w:sz w:val="20"/>
          <w:szCs w:val="20"/>
        </w:rPr>
        <w:t xml:space="preserve">We are not asking the City of Wilmington or the State of Delaware to underwrite this. We are inviting them as partners. City contributions (site, infrastructure, OED program) are shown for funder transparency and credited back — we are not dependent on them to make the model work.</w:t>
      </w:r>
    </w:p>
    <w:p>
      <w:pPr>
        <w:spacing w:after="0" w:before="200"/>
      </w:pPr>
    </w:p>
    <w:p>
      <w:pPr>
        <w:pStyle w:val="Heading1"/>
        <w:spacing w:after="60" w:before="360"/>
      </w:pPr>
      <w:r>
        <w:rPr>
          <w:rFonts w:ascii="Arial" w:cs="Arial" w:eastAsia="Arial" w:hAnsi="Arial"/>
          <w:b/>
          <w:bCs/>
          <w:color w:val="196b23"/>
          <w:sz w:val="28"/>
          <w:szCs w:val="28"/>
        </w:rPr>
        <w:t xml:space="preserve">Bridge to Investor Memo</w:t>
      </w:r>
    </w:p>
    <w:p>
      <w:pPr>
        <w:pBdr>
          <w:bottom w:val="single" w:color="e0e0e0" w:sz="8" w:space="1"/>
        </w:pBdr>
        <w:spacing w:after="120" w:before="0"/>
      </w:pPr>
    </w:p>
    <w:p>
      <w:pPr>
        <w:spacing w:after="80" w:before="40"/>
      </w:pPr>
      <w:r>
        <w:rPr>
          <w:rFonts w:ascii="Arial" w:cs="Arial" w:eastAsia="Arial" w:hAnsi="Arial"/>
          <w:sz w:val="20"/>
          <w:szCs w:val="20"/>
        </w:rPr>
        <w:t xml:space="preserve">For audiences asking about equity investment rather than grants, the relevant numbers are: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Item</w:t>
            </w:r>
          </w:p>
        </w:tc>
        <w:tc>
          <w:tcPr>
            <w:tcW w:type="dxa" w:w="208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Figure</w:t>
            </w:r>
          </w:p>
        </w:tc>
        <w:tc>
          <w:tcPr>
            <w:tcW w:type="dxa" w:w="4080"/>
            <w:tcBorders>
              <w:top w:val="single" w:color="cccccc" w:sz="1"/>
              <w:left w:val="single" w:color="cccccc" w:sz="1"/>
              <w:bottom w:val="single" w:color="cccccc" w:sz="1"/>
              <w:right w:val="single" w:color="cccccc" w:sz="1"/>
            </w:tcBorders>
            <w:shd w:fill="196b23" w:val="clear"/>
            <w:tcMar>
              <w:top w:type="dxa" w:w="80"/>
              <w:left w:type="dxa" w:w="160"/>
              <w:bottom w:type="dxa" w:w="80"/>
              <w:right w:type="dxa" w:w="160"/>
            </w:tcMar>
          </w:tcPr>
          <w:p>
            <w:pPr>
              <w:jc w:val="left"/>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Equity trigger — Phase 1 Wilmington</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$500K</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Sufficient to fund Phase 1 Wilmington Hub launch alongside grant stack. City LOI triggers equity commitment.</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Forward Home Type D 10-unit cluster — net developer margin</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$94,878/unit ($948K total)</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40.4% margin at $235K avg sale price. $140K/unit all-in build cost.</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Equity recycling cycle</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31 weeks</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Sequential project cycles. 5 projects = $4.7M cumulative net from one $500K commitment.</w:t>
            </w:r>
          </w:p>
        </w:tc>
      </w:tr>
      <w:tr>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IRA §45L tax credits (T2/T3/T4 units)</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$5,000/unit</w:t>
            </w:r>
          </w:p>
        </w:tc>
        <w:tc>
          <w:tcPr>
            <w:tcW w:type="dxa" w:w="2340"/>
            <w:tcBorders>
              <w:top w:val="single" w:color="cccccc" w:sz="1"/>
              <w:left w:val="single" w:color="cccccc" w:sz="1"/>
              <w:bottom w:val="single" w:color="cccccc" w:sz="1"/>
              <w:right w:val="single" w:color="cccccc" w:sz="1"/>
            </w:tcBorders>
            <w:shd w:fill="e8f0d5" w:val="clear"/>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Zero Energy Ready Homes path. Stacks on top of project margin.</w:t>
            </w:r>
          </w:p>
        </w:tc>
      </w:tr>
      <w:tr>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Architecture fee compression (repeat typology)</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$1,400/unit savings</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1a"/>
                <w:sz w:val="18"/>
                <w:szCs w:val="18"/>
              </w:rPr>
              <w:t xml:space="preserve">$10,300 vs. $11,700 soft cost after Claymont G4 template archival. Available Q4 2026.</w:t>
            </w:r>
          </w:p>
        </w:tc>
      </w:tr>
    </w:tbl>
    <w:p>
      <w:pPr>
        <w:spacing w:after="0" w:before="80"/>
      </w:pPr>
    </w:p>
    <w:p>
      <w:pPr>
        <w:spacing w:after="80" w:before="40"/>
        <w:ind w:left="360"/>
      </w:pPr>
      <w:r>
        <w:rPr>
          <w:rFonts w:ascii="Arial" w:cs="Arial" w:eastAsia="Arial" w:hAnsi="Arial"/>
          <w:i/>
          <w:iCs/>
          <w:color w:val="555555"/>
          <w:sz w:val="18"/>
          <w:szCs w:val="18"/>
        </w:rPr>
        <w:t xml:space="preserve">Confirm equity structure preference with investor: stake vs. preferred return vs. convertible note. City LOI triggers equity commitment conversation.</w:t>
      </w:r>
    </w:p>
    <w:p>
      <w:pPr>
        <w:spacing w:after="0" w:before="200"/>
      </w:pPr>
    </w:p>
    <w:p>
      <w:pPr>
        <w:pStyle w:val="Heading1"/>
        <w:spacing w:after="60" w:before="360"/>
      </w:pPr>
      <w:r>
        <w:rPr>
          <w:rFonts w:ascii="Arial" w:cs="Arial" w:eastAsia="Arial" w:hAnsi="Arial"/>
          <w:b/>
          <w:bCs/>
          <w:color w:val="196b23"/>
          <w:sz w:val="28"/>
          <w:szCs w:val="28"/>
        </w:rPr>
        <w:t xml:space="preserve">What to Say When Asked: How Much Is This Going to Cost?</w:t>
      </w:r>
    </w:p>
    <w:p>
      <w:pPr>
        <w:pBdr>
          <w:bottom w:val="single" w:color="e0e0e0" w:sz="8" w:space="1"/>
        </w:pBdr>
        <w:spacing w:after="120" w:before="0"/>
      </w:pPr>
    </w:p>
    <w:p>
      <w:pPr>
        <w:spacing w:after="80" w:before="40"/>
      </w:pPr>
      <w:r>
        <w:rPr>
          <w:rFonts w:ascii="Arial" w:cs="Arial" w:eastAsia="Arial" w:hAnsi="Arial"/>
          <w:sz w:val="20"/>
          <w:szCs w:val="20"/>
        </w:rPr>
        <w:t xml:space="preserve">Phase 1 Wilmington Hub: between $630K and $1.2M, funded by City of Wilmington, DEDO, Wells Fargo, and Enterprise Community grants — no equity dilution at Phase 1 scale. We can be operational by mid-2027.</w:t>
      </w:r>
    </w:p>
    <w:p>
      <w:pPr>
        <w:spacing w:after="0" w:before="40"/>
      </w:pPr>
    </w:p>
    <w:p>
      <w:pPr>
        <w:spacing w:after="80" w:before="40"/>
      </w:pPr>
      <w:r>
        <w:rPr>
          <w:rFonts w:ascii="Arial" w:cs="Arial" w:eastAsia="Arial" w:hAnsi="Arial"/>
          <w:sz w:val="20"/>
          <w:szCs w:val="20"/>
        </w:rPr>
        <w:t xml:space="preserve">Phase 2 Seaford Hub: between $5.3M and $13.9M, primarily structured through NMTC tax credit equity with USDA loan guarantee support. We don’t advance Seaford without one of two triggers: Wells Fargo Round 3 finalist confirmation (November 2026) or the Jamaica NHT/NaRRA pilot MOU.</w:t>
      </w:r>
    </w:p>
    <w:p>
      <w:pPr>
        <w:spacing w:after="0" w:before="40"/>
      </w:pPr>
    </w:p>
    <w:p>
      <w:pPr>
        <w:spacing w:after="80" w:before="40"/>
      </w:pPr>
      <w:r>
        <w:rPr>
          <w:rFonts w:ascii="Arial" w:cs="Arial" w:eastAsia="Arial" w:hAnsi="Arial"/>
          <w:sz w:val="20"/>
          <w:szCs w:val="20"/>
        </w:rPr>
        <w:t xml:space="preserve">Combined ROM over 36–48 months: $20M–$56M, sequenced and conditional. Not a single raise. Not a bet on one funder. Four parallel capital paths: grant, federal stack, operating revenue, private equity. The housing crisis doesn’t wait for perfect capital markets — and neither do we.</w:t>
      </w:r>
    </w:p>
    <w:p>
      <w:pPr>
        <w:spacing w:after="0" w:before="80"/>
      </w:pPr>
    </w:p>
    <w:p>
      <w:pPr>
        <w:pBdr>
          <w:bottom w:val="single" w:color="196b23" w:sz="8" w:space="1"/>
        </w:pBdr>
        <w:spacing w:after="120" w:before="0"/>
      </w:pPr>
    </w:p>
    <w:p>
      <w:pPr>
        <w:spacing w:after="40" w:before="80"/>
        <w:jc w:val="center"/>
      </w:pPr>
      <w:r>
        <w:rPr>
          <w:rFonts w:ascii="Arial" w:cs="Arial" w:eastAsia="Arial" w:hAnsi="Arial"/>
          <w:b/>
          <w:bCs/>
          <w:color w:val="888888"/>
          <w:sz w:val="16"/>
          <w:szCs w:val="16"/>
        </w:rPr>
        <w:t xml:space="preserve">MERGE4WARD LLC  ×  MERGE 4 DESIGN LLC  ×  M4Di™</w:t>
      </w:r>
    </w:p>
    <w:p>
      <w:pPr>
        <w:spacing w:after="40" w:before="0"/>
        <w:jc w:val="center"/>
      </w:pPr>
      <w:r>
        <w:rPr>
          <w:rFonts w:ascii="Arial" w:cs="Arial" w:eastAsia="Arial" w:hAnsi="Arial"/>
          <w:color w:val="888888"/>
          <w:sz w:val="16"/>
          <w:szCs w:val="16"/>
        </w:rPr>
        <w:t xml:space="preserve">500 Delaware Ave, Suite 1 #1551, Wilmington DE 19899  ·  merge4design.com</w:t>
      </w:r>
    </w:p>
    <w:p>
      <w:pPr>
        <w:spacing w:after="0" w:before="0"/>
        <w:jc w:val="center"/>
      </w:pPr>
      <w:r>
        <w:rPr>
          <w:rFonts w:ascii="Arial" w:cs="Arial" w:eastAsia="Arial" w:hAnsi="Arial"/>
          <w:i/>
          <w:iCs/>
          <w:color w:val="9dab3a"/>
          <w:sz w:val="16"/>
          <w:szCs w:val="16"/>
        </w:rPr>
        <w:t xml:space="preserve">INTERNAL STRATEGY MEMO — NOT FOR EXTERNAL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Merge4Ward LLC — Two-Hub Manufacturing Strategy  |  INTERNAL — NOT FOR DISTRIBUTION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96b23"/>
        <w:sz w:val="16"/>
        <w:szCs w:val="16"/>
      </w:rPr>
      <w:t xml:space="preserve">MERGE4WARD LLC  ×  MERGE 4 DESIGN LLC  ×  M4Di™  |  INTERNAL STRATEGY MEMO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96b23"/>
      <w:sz w:val="28"/>
      <w:szCs w:val="28"/>
    </w:rPr>
  </w:style>
  <w:style w:type="paragraph" w:styleId="Heading2">
    <w:name w:val="Heading 2"/>
    <w:basedOn w:val="Normal"/>
    <w:next w:val="Normal"/>
    <w:qFormat/>
    <w:pPr>
      <w:spacing w:after="6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2026-06-16T14:53:32.220Z</dcterms:created>
  <dcterms:modified xsi:type="dcterms:W3CDTF">2026-06-16T14:53:32.220Z</dcterms:modified>
</cp:coreProperties>
</file>

<file path=docProps/custom.xml><?xml version="1.0" encoding="utf-8"?>
<Properties xmlns="http://schemas.openxmlformats.org/officeDocument/2006/custom-properties" xmlns:vt="http://schemas.openxmlformats.org/officeDocument/2006/docPropsVTypes"/>
</file>