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96B23"/>
          <w:sz w:val="20"/>
          <w:szCs w:val="20"/>
        </w:rPr>
        <w:t xml:space="preserve">MERGE 4 DESIGN  ×  MERGE4WARD  ×  M4Di</w:t>
      </w:r>
    </w:p>
    <w:p>
      <w:pPr>
        <w:spacing w:after="40" w:before="0"/>
      </w:pPr>
      <w:r>
        <w:rPr>
          <w:rFonts w:ascii="Arial" w:cs="Arial" w:eastAsia="Arial" w:hAnsi="Arial"/>
          <w:b/>
          <w:bCs/>
          <w:color w:val="1A1A18"/>
          <w:sz w:val="52"/>
          <w:szCs w:val="52"/>
        </w:rPr>
        <w:t xml:space="preserve">PLANTD MATERIALS</w:t>
      </w:r>
    </w:p>
    <w:p>
      <w:pPr>
        <w:spacing w:after="60" w:before="0"/>
      </w:pPr>
      <w:r>
        <w:rPr>
          <w:rFonts w:ascii="Arial" w:cs="Arial" w:eastAsia="Arial" w:hAnsi="Arial"/>
          <w:color w:val="555552"/>
          <w:sz w:val="30"/>
          <w:szCs w:val="30"/>
        </w:rPr>
        <w:t xml:space="preserve">Internal Analysis — Partnership &amp; Integration Assessment</w:t>
      </w:r>
    </w:p>
    <w:p>
      <w:pPr>
        <w:spacing w:after="200" w:before="0"/>
      </w:pPr>
      <w:r>
        <w:rPr>
          <w:rFonts w:ascii="Arial" w:cs="Arial" w:eastAsia="Arial" w:hAnsi="Arial"/>
          <w:i/>
          <w:iCs/>
          <w:color w:val="555552"/>
          <w:sz w:val="21"/>
          <w:szCs w:val="21"/>
        </w:rPr>
        <w:t xml:space="preserve">Product fit  ·  4Ward-SIB SIP integration  ·  Seaford manufacturing  ·  Delaware farmland  ·  Ecosystem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3B6D11" w:val="clear"/>
            <w:tcMar>
              <w:top w:type="dxa" w:w="120"/>
              <w:left w:type="dxa" w:w="160"/>
              <w:bottom w:type="dxa" w:w="120"/>
              <w:right w:type="dxa" w:w="140"/>
            </w:tcMar>
          </w:tcPr>
          <w:p>
            <w:pPr>
              <w:spacing w:after="40" w:before="0"/>
            </w:pPr>
            <w:r>
              <w:rPr>
                <w:rFonts w:ascii="Arial" w:cs="Arial" w:eastAsia="Arial" w:hAnsi="Arial"/>
                <w:b/>
                <w:bCs/>
                <w:color w:val="FFFFFF"/>
                <w:sz w:val="21"/>
                <w:szCs w:val="21"/>
              </w:rPr>
              <w:t xml:space="preserve">Plantd overview</w:t>
            </w:r>
          </w:p>
          <w:p>
            <w:pPr>
              <w:spacing w:after="0" w:before="0"/>
            </w:pPr>
            <w:r>
              <w:rPr>
                <w:rFonts w:ascii="Arial" w:cs="Arial" w:eastAsia="Arial" w:hAnsi="Arial"/>
                <w:color w:val="C0DD97"/>
                <w:sz w:val="17"/>
                <w:szCs w:val="17"/>
              </w:rPr>
              <w:t xml:space="preserve">Founded 2021  ·  Oxford NC
SpaceX founders
$47.5M raised (Series B closed Sep 2025)
70+ employees
150,000 SF production facility</w:t>
            </w:r>
          </w:p>
        </w:tc>
        <w:tc>
          <w:tcPr>
            <w:tcW w:type="dxa" w:w="2340"/>
            <w:tcBorders>
              <w:top w:val="single" w:color="CCCCCC" w:sz="4"/>
              <w:left w:val="single" w:color="CCCCCC" w:sz="4"/>
              <w:bottom w:val="single" w:color="CCCCCC" w:sz="4"/>
              <w:right w:val="single" w:color="CCCCCC" w:sz="4"/>
            </w:tcBorders>
            <w:shd w:fill="196B23" w:val="clear"/>
            <w:tcMar>
              <w:top w:type="dxa" w:w="120"/>
              <w:left w:type="dxa" w:w="160"/>
              <w:bottom w:type="dxa" w:w="120"/>
              <w:right w:type="dxa" w:w="140"/>
            </w:tcMar>
          </w:tcPr>
          <w:p>
            <w:pPr>
              <w:spacing w:after="40" w:before="0"/>
            </w:pPr>
            <w:r>
              <w:rPr>
                <w:rFonts w:ascii="Arial" w:cs="Arial" w:eastAsia="Arial" w:hAnsi="Arial"/>
                <w:b/>
                <w:bCs/>
                <w:color w:val="FFFFFF"/>
                <w:sz w:val="21"/>
                <w:szCs w:val="21"/>
              </w:rPr>
              <w:t xml:space="preserve">The product</w:t>
            </w:r>
          </w:p>
          <w:p>
            <w:pPr>
              <w:spacing w:after="0" w:before="0"/>
            </w:pPr>
            <w:r>
              <w:rPr>
                <w:rFonts w:ascii="Arial" w:cs="Arial" w:eastAsia="Arial" w:hAnsi="Arial"/>
                <w:color w:val="D6EDD6"/>
                <w:sz w:val="17"/>
                <w:szCs w:val="17"/>
              </w:rPr>
              <w:t xml:space="preserve">7/16″ structural panel
Fast-growing perennial grass
Drops in place of OSB
IBC certified listing
Formaldehyde-free resin</w:t>
            </w:r>
          </w:p>
        </w:tc>
        <w:tc>
          <w:tcPr>
            <w:tcW w:type="dxa" w:w="2340"/>
            <w:tcBorders>
              <w:top w:val="single" w:color="CCCCCC" w:sz="4"/>
              <w:left w:val="single" w:color="CCCCCC" w:sz="4"/>
              <w:bottom w:val="single" w:color="CCCCCC" w:sz="4"/>
              <w:right w:val="single" w:color="CCCCCC" w:sz="4"/>
            </w:tcBorders>
            <w:shd w:fill="0F6E56" w:val="clear"/>
            <w:tcMar>
              <w:top w:type="dxa" w:w="120"/>
              <w:left w:type="dxa" w:w="160"/>
              <w:bottom w:type="dxa" w:w="120"/>
              <w:right w:type="dxa" w:w="140"/>
            </w:tcMar>
          </w:tcPr>
          <w:p>
            <w:pPr>
              <w:spacing w:after="40" w:before="0"/>
            </w:pPr>
            <w:r>
              <w:rPr>
                <w:rFonts w:ascii="Arial" w:cs="Arial" w:eastAsia="Arial" w:hAnsi="Arial"/>
                <w:b/>
                <w:bCs/>
                <w:color w:val="FFFFFF"/>
                <w:sz w:val="21"/>
                <w:szCs w:val="21"/>
              </w:rPr>
              <w:t xml:space="preserve">Performance vs. OSB</w:t>
            </w:r>
          </w:p>
          <w:p>
            <w:pPr>
              <w:spacing w:after="0" w:before="0"/>
            </w:pPr>
            <w:r>
              <w:rPr>
                <w:rFonts w:ascii="Arial" w:cs="Arial" w:eastAsia="Arial" w:hAnsi="Arial"/>
                <w:color w:val="D4EDE8"/>
                <w:sz w:val="17"/>
                <w:szCs w:val="17"/>
              </w:rPr>
              <w:t xml:space="preserve">2× moisture resistance
1.4× stronger
50% better nailhead pull-through
10% better nailhead withdrawal
Carbon-negative lifecycle</w:t>
            </w:r>
          </w:p>
        </w:tc>
        <w:tc>
          <w:tcPr>
            <w:tcW w:type="dxa" w:w="2340"/>
            <w:tcBorders>
              <w:top w:val="single" w:color="CCCCCC" w:sz="4"/>
              <w:left w:val="single" w:color="CCCCCC" w:sz="4"/>
              <w:bottom w:val="single" w:color="CCCCCC" w:sz="4"/>
              <w:right w:val="single" w:color="CCCCCC" w:sz="4"/>
            </w:tcBorders>
            <w:shd w:fill="1565C0" w:val="clear"/>
            <w:tcMar>
              <w:top w:type="dxa" w:w="120"/>
              <w:left w:type="dxa" w:w="160"/>
              <w:bottom w:type="dxa" w:w="120"/>
              <w:right w:type="dxa" w:w="140"/>
            </w:tcMar>
          </w:tcPr>
          <w:p>
            <w:pPr>
              <w:spacing w:after="40" w:before="0"/>
            </w:pPr>
            <w:r>
              <w:rPr>
                <w:rFonts w:ascii="Arial" w:cs="Arial" w:eastAsia="Arial" w:hAnsi="Arial"/>
                <w:b/>
                <w:bCs/>
                <w:color w:val="FFFFFF"/>
                <w:sz w:val="21"/>
                <w:szCs w:val="21"/>
              </w:rPr>
              <w:t xml:space="preserve">Recognition</w:t>
            </w:r>
          </w:p>
          <w:p>
            <w:pPr>
              <w:spacing w:after="0" w:before="0"/>
            </w:pPr>
            <w:r>
              <w:rPr>
                <w:rFonts w:ascii="Arial" w:cs="Arial" w:eastAsia="Arial" w:hAnsi="Arial"/>
                <w:color w:val="E3F2FD"/>
                <w:sz w:val="17"/>
                <w:szCs w:val="17"/>
              </w:rPr>
              <w:t xml:space="preserve">Fast Company Most Innovative 2024
DOE EPIC Prize winner
NAHB Most Innovative Startup
D.R. Horton partnership
Ivory Prize Top 10 finalist</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4"/>
              <w:left w:val="single" w:color="CCCCCC" w:sz="4"/>
              <w:bottom w:val="single" w:color="CCCCCC" w:sz="4"/>
              <w:right w:val="single" w:color="CCCCCC" w:sz="4"/>
            </w:tcBorders>
            <w:shd w:fill="196B23" w:val="clear"/>
            <w:tcMar>
              <w:top w:type="dxa" w:w="120"/>
              <w:left w:type="dxa" w:w="160"/>
              <w:bottom w:type="dxa" w:w="120"/>
              <w:right w:type="dxa" w:w="140"/>
            </w:tcMar>
          </w:tcPr>
          <w:p>
            <w:pPr>
              <w:spacing w:after="40" w:before="0"/>
            </w:pPr>
            <w:r>
              <w:rPr>
                <w:rFonts w:ascii="Arial" w:cs="Arial" w:eastAsia="Arial" w:hAnsi="Arial"/>
                <w:b/>
                <w:bCs/>
                <w:color w:val="FFFFFF"/>
                <w:sz w:val="18"/>
                <w:szCs w:val="18"/>
              </w:rPr>
              <w:t xml:space="preserve">Prepared by: </w:t>
            </w:r>
            <w:r>
              <w:rPr>
                <w:rFonts w:ascii="Arial" w:cs="Arial" w:eastAsia="Arial" w:hAnsi="Arial"/>
                <w:color w:val="D6EDD6"/>
                <w:sz w:val="18"/>
                <w:szCs w:val="18"/>
              </w:rPr>
              <w:t xml:space="preserve">David Ainsworth / Merge4Ward team</w:t>
            </w:r>
          </w:p>
          <w:p>
            <w:pPr>
              <w:spacing w:after="20" w:before="0"/>
            </w:pPr>
            <w:r>
              <w:rPr>
                <w:rFonts w:ascii="Arial" w:cs="Arial" w:eastAsia="Arial" w:hAnsi="Arial"/>
                <w:b/>
                <w:bCs/>
                <w:color w:val="FFFFFF"/>
                <w:sz w:val="18"/>
                <w:szCs w:val="18"/>
              </w:rPr>
              <w:t xml:space="preserve">Date: </w:t>
            </w:r>
            <w:r>
              <w:rPr>
                <w:rFonts w:ascii="Arial" w:cs="Arial" w:eastAsia="Arial" w:hAnsi="Arial"/>
                <w:color w:val="D6EDD6"/>
                <w:sz w:val="18"/>
                <w:szCs w:val="18"/>
              </w:rPr>
              <w:t xml:space="preserve">June 2026</w:t>
            </w:r>
          </w:p>
          <w:p>
            <w:pPr>
              <w:spacing w:after="0" w:before="0"/>
            </w:pPr>
            <w:r>
              <w:rPr>
                <w:rFonts w:ascii="Arial" w:cs="Arial" w:eastAsia="Arial" w:hAnsi="Arial"/>
                <w:b/>
                <w:bCs/>
                <w:color w:val="FFFFFF"/>
                <w:sz w:val="18"/>
                <w:szCs w:val="18"/>
              </w:rPr>
              <w:t xml:space="preserve">Status: </w:t>
            </w:r>
            <w:r>
              <w:rPr>
                <w:rFonts w:ascii="Arial" w:cs="Arial" w:eastAsia="Arial" w:hAnsi="Arial"/>
                <w:color w:val="D6EDD6"/>
                <w:sz w:val="18"/>
                <w:szCs w:val="18"/>
              </w:rPr>
              <w:t xml:space="preserve">Internal analysis — pre-contact</w:t>
            </w:r>
          </w:p>
        </w:tc>
        <w:tc>
          <w:tcPr>
            <w:tcW w:type="dxa" w:w="4320"/>
            <w:tcBorders>
              <w:top w:val="single" w:color="CCCCCC" w:sz="4"/>
              <w:left w:val="single" w:color="CCCCCC" w:sz="4"/>
              <w:bottom w:val="single" w:color="CCCCCC" w:sz="4"/>
              <w:right w:val="single" w:color="CCCCCC" w:sz="4"/>
            </w:tcBorders>
            <w:shd w:fill="F7F7F4" w:val="clear"/>
            <w:tcMar>
              <w:top w:type="dxa" w:w="120"/>
              <w:left w:type="dxa" w:w="160"/>
              <w:bottom w:type="dxa" w:w="120"/>
              <w:right w:type="dxa" w:w="140"/>
            </w:tcMar>
          </w:tcPr>
          <w:p>
            <w:pPr>
              <w:spacing w:after="0" w:before="0"/>
            </w:pPr>
            <w:r>
              <w:rPr>
                <w:rFonts w:ascii="Arial" w:cs="Arial" w:eastAsia="Arial" w:hAnsi="Arial"/>
                <w:b/>
                <w:bCs/>
                <w:color w:val="196B23"/>
                <w:sz w:val="18"/>
                <w:szCs w:val="18"/>
              </w:rPr>
              <w:t xml:space="preserve">Purpose: </w:t>
            </w:r>
            <w:r>
              <w:rPr>
                <w:rFonts w:ascii="Arial" w:cs="Arial" w:eastAsia="Arial" w:hAnsi="Arial"/>
                <w:color w:val="1A1A18"/>
                <w:sz w:val="18"/>
                <w:szCs w:val="18"/>
              </w:rPr>
              <w:t xml:space="preserve">Assess Plantd as a component supplier and potential manufacturing/agricultural partner. Brief covers product fit, technical integration, Seaford co-location, Delaware land acquisition, and ecosystem alignment. Companion to intro email to Nathan Silvernail.</w:t>
            </w:r>
          </w:p>
        </w:tc>
      </w:tr>
    </w:tbl>
    <w:p>
      <w:pPr>
        <w:spacing w:after="100" w:before="0"/>
      </w:pPr>
      <w:r>
        <w:rPr>
          <w:rFonts w:ascii="Arial" w:cs="Arial" w:eastAsia="Arial" w:hAnsi="Arial"/>
        </w:rPr>
        <w:t xml:space="preserve"/>
      </w:r>
    </w:p>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1.  Who Plantd Is — Company Assessment</w:t>
      </w:r>
    </w:p>
    <w:p>
      <w:pPr>
        <w:spacing w:after="160" w:before="80"/>
      </w:pPr>
      <w:r>
        <w:rPr>
          <w:rFonts w:ascii="Arial" w:cs="Arial" w:eastAsia="Arial" w:hAnsi="Arial"/>
        </w:rPr>
        <w:t xml:space="preserve">Plantd is not a typical building materials startup. Its founders — Nathan Silvernail (Co-CEO) and Huade Tan (CTO) — come from SpaceX, where Silvernail built life support systems for Crew Dragon and made history building the first payload fairing recovered from space and reused on a later mission. The company's tagline is “Move fast and fix things.” Their manufacturing platform is described as modular, fully automated, and all-electric — built from first principles the way SpaceX approaches aerospace engineering.</w:t>
      </w:r>
    </w:p>
    <w:p>
      <w:pPr>
        <w:spacing w:after="160" w:before="80"/>
      </w:pPr>
      <w:r>
        <w:rPr>
          <w:rFonts w:ascii="Arial" w:cs="Arial" w:eastAsia="Arial" w:hAnsi="Arial"/>
        </w:rPr>
        <w:t xml:space="preserve">Plantd grows its own proprietary perennial grass feedstock on American farms in North Carolina and Virginia, processes it at a 150,000 SF production facility in Oxford, NC (Granville County, part of the Research Triangle), and produces a 7/16″ structural panel that is a direct drop-in replacement for OSB in wall sheathing and roof decking applications. The panel installs with the same tools, the same crew, and the same workflow as OSB. The only thing different is the material and the performance.</w:t>
      </w:r>
    </w:p>
    <w:p>
      <w:pPr>
        <w:spacing w:after="160" w:before="80"/>
      </w:pPr>
      <w:r>
        <w:rPr>
          <w:rFonts w:ascii="Arial" w:cs="Arial" w:eastAsia="Arial" w:hAnsi="Arial"/>
        </w:rPr>
        <w:t xml:space="preserve">The Series B closed September 29, 2025 at $22M, doubling the company’s valuation since the $10M Series A in 2022. Total capital raised: $47.5M. The D.R. Horton partnership — America’s largest homebuilder — is Plantd’s landmark commercial relationship, with COO Mike Murray publicly endorsing the product. Plantd is targeting 20,000 acres of grass under management by 2030, supported by AI-vision software and robotic systems for biomass supply chain management.</w:t>
      </w:r>
    </w:p>
    <w:p>
      <w:pPr>
        <w:spacing w:after="160" w:before="80"/>
      </w:pPr>
      <w:r>
        <w:rPr>
          <w:rFonts w:ascii="Arial" w:cs="Arial" w:eastAsia="Arial" w:hAnsi="Arial"/>
        </w:rPr>
        <w:t xml:space="preserve">A second product is in development from the manufacturing waste stream — undisclosed as of June 2026 but described as a second commercial partnership in development. This zero-waste closed-loop manufacturing vision matters for how Merge4Ward would approach a co-manufacturing or Delaware expansion conversation.</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thick" w:color="1565C0" w:sz="28"/>
              <w:bottom w:val="none" w:color="FFFFFF" w:sz="0"/>
              <w:right w:val="none" w:color="FFFFFF" w:sz="0"/>
            </w:tcBorders>
            <w:shd w:fill="E3F2FD" w:val="clear"/>
          </w:tcPr>
          <w:p>
            <w:pPr>
              <w:spacing w:after="0" w:before="0"/>
            </w:pPr>
            <w:r>
              <w:rPr>
                <w:rFonts w:ascii="Arial" w:cs="Arial" w:eastAsia="Arial" w:hAnsi="Arial"/>
              </w:rPr>
              <w:t xml:space="preserve"/>
            </w:r>
          </w:p>
        </w:tc>
        <w:tc>
          <w:tcPr>
            <w:tcW w:type="dxa" w:w="9080"/>
            <w:tcBorders>
              <w:top w:val="none" w:color="FFFFFF" w:sz="0"/>
              <w:left w:val="none" w:color="FFFFFF" w:sz="0"/>
              <w:bottom w:val="none" w:color="FFFFFF" w:sz="0"/>
              <w:right w:val="none" w:color="FFFFFF" w:sz="0"/>
            </w:tcBorders>
            <w:shd w:fill="E3F2FD" w:val="clear"/>
            <w:tcMar>
              <w:top w:type="dxa" w:w="120"/>
              <w:left w:type="dxa" w:w="180"/>
              <w:bottom w:type="dxa" w:w="120"/>
              <w:right w:type="dxa" w:w="140"/>
            </w:tcMar>
          </w:tcPr>
          <w:p>
            <w:pPr>
              <w:spacing w:after="0" w:before="0"/>
            </w:pPr>
            <w:r>
              <w:rPr>
                <w:rFonts w:ascii="Arial" w:cs="Arial" w:eastAsia="Arial" w:hAnsi="Arial"/>
                <w:b/>
                <w:bCs/>
                <w:color w:val="1565C0"/>
                <w:sz w:val="21"/>
                <w:szCs w:val="21"/>
              </w:rPr>
              <w:t xml:space="preserve">KEY READ:  </w:t>
            </w:r>
            <w:r>
              <w:rPr>
                <w:rFonts w:ascii="Arial" w:cs="Arial" w:eastAsia="Arial" w:hAnsi="Arial"/>
                <w:color w:val="1A1A18"/>
                <w:sz w:val="21"/>
                <w:szCs w:val="21"/>
              </w:rPr>
              <w:t xml:space="preserve">Plantd is well-capitalized, growing, and already validated by the largest homebuilder in the US. They are not a pre-revenue startup looking for their first customer. The pitch to Nathan Silvernail must position Merge4Ward as a strategic partner bringing geographic expansion opportunity, vertical integration, and Caribbean market access — not as a customer asking for a better price on panels.</w:t>
            </w:r>
          </w:p>
        </w:tc>
      </w:tr>
    </w:tbl>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2.  Product Fit — Plantd Panel as 4Ward-SIB SIP Face Layer</w:t>
      </w:r>
    </w:p>
    <w:p>
      <w:pPr>
        <w:spacing w:after="160" w:before="80"/>
      </w:pPr>
      <w:r>
        <w:rPr>
          <w:rFonts w:ascii="Arial" w:cs="Arial" w:eastAsia="Arial" w:hAnsi="Arial"/>
        </w:rPr>
        <w:t xml:space="preserve">The 4Ward-SIB Forward Panel currently uses the Barricade Thermo-Brace Blue SIB™ panel (TER 1507-09). The SIB is a structural insulated board with a fiberboard face layer, GPS (graphite polystyrene) continuous insulation core, and integrated WRB and air barrier. The face layer does the structural work — sheathing, racking resistance, fastener engagement. That face layer is currently fiberboard-faced, not OSB-faced.</w:t>
      </w:r>
    </w:p>
    <w:p>
      <w:pPr>
        <w:spacing w:after="160" w:before="80"/>
      </w:pPr>
      <w:r>
        <w:rPr>
          <w:rFonts w:ascii="Arial" w:cs="Arial" w:eastAsia="Arial" w:hAnsi="Arial"/>
        </w:rPr>
        <w:t xml:space="preserve">The question for technical integration is whether Plantd’s 7/16″ structural panel can function as the structural face layer on a 4Ward-branded SIP assembly — either replacing the SIB entirely or as a laminated facing bonded to an EPS or GPS foam core. Here is the honest technical assessment:</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4"/>
              <w:left w:val="single" w:color="CCCCCC" w:sz="4"/>
              <w:bottom w:val="single" w:color="CCCCCC" w:sz="4"/>
              <w:right w:val="single" w:color="CCCCCC" w:sz="4"/>
            </w:tcBorders>
            <w:shd w:fill="196B23"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Technical question</w:t>
            </w:r>
          </w:p>
        </w:tc>
        <w:tc>
          <w:tcPr>
            <w:tcW w:type="dxa" w:w="3080"/>
            <w:tcBorders>
              <w:top w:val="single" w:color="CCCCCC" w:sz="4"/>
              <w:left w:val="single" w:color="CCCCCC" w:sz="4"/>
              <w:bottom w:val="single" w:color="CCCCCC" w:sz="4"/>
              <w:right w:val="single" w:color="CCCCCC" w:sz="4"/>
            </w:tcBorders>
            <w:shd w:fill="555552"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Current SIB situation</w:t>
            </w:r>
          </w:p>
        </w:tc>
        <w:tc>
          <w:tcPr>
            <w:tcW w:type="dxa" w:w="3480"/>
            <w:tcBorders>
              <w:top w:val="single" w:color="CCCCCC" w:sz="4"/>
              <w:left w:val="single" w:color="CCCCCC" w:sz="4"/>
              <w:bottom w:val="single" w:color="CCCCCC" w:sz="4"/>
              <w:right w:val="single" w:color="CCCCCC" w:sz="4"/>
            </w:tcBorders>
            <w:shd w:fill="3B6D11"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Plantd panel fit</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Can Plantd panel replace the structural face on a SIP?</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Current SIB uses fiberboard face, not OSB. TER 1507-09 documents the specific fiberboard-faced assembly. Any face substitution requires new testing or a new TER.</w:t>
            </w:r>
          </w:p>
        </w:tc>
        <w:tc>
          <w:tcPr>
            <w:tcW w:type="dxa" w:w="34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is IBC-certified as a structural sheathing panel. Its 7/16″ meets PS 2 equivalency for structural sheathing. A Plantd-faced SIP would need ICC-ES testing under AC04 (SIP acceptance criteria) with Plantd as the face material. This is achievable — AC04 does not prescribe face material type.</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WRB integration</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Barricade SIB™ integrates WRB on the exterior face. That integration is part of what TER 1507-09 documents.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A Plantd-faced SIP would need a separate WRB tape system (e.g., 3M 8067 or ZIP System tape) at panel joints. Alternatively, Plantd + Barricade WRB membrane overlay could be developed as a co-branded system. This is a design development question, not a disqualifying one.</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Moisture resistance</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Barricade SIB fiberboard face is classified for Exposure 1. WRB face layer provides primary weather resistance.</w:t>
            </w:r>
          </w:p>
        </w:tc>
        <w:tc>
          <w:tcPr>
            <w:tcW w:type="dxa" w:w="34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claims 2× moisture resistance vs. standard OSB. This is a significant upgrade for a SIP face layer, where the face is the first structural line of defense if WRB fails. A Plantd-faced SIP has better inherent moisture durability than an OSB-faced SIP.</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Fire performance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SIB fiberboard is combustible — EPS/GPS foam core requires thermal barrier (GWB) per IBC Section 2603.4.</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panel is also combustible (cellulosic/grass). Same IBC 2603.4 thermal barrier requirement applies. No degradation from current SIB spec. No advantage either — fire performance doesn’t change.</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Carbon story</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Current SIB has no significant carbon narrative. GPS foam is petrochemical. Fiberboard is wood-derived.</w:t>
            </w:r>
          </w:p>
        </w:tc>
        <w:tc>
          <w:tcPr>
            <w:tcW w:type="dxa" w:w="348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Plantd-faced SIP locks atmospheric carbon sequestered from grass into the wall assembly. 70% of carbon captured in field retained in panels. This is a genuine, third-party-verified carbon narrative that strengthens every grant application, every City of Wilmington OED conversation, and every Caribbean export story. This is the most strategically valuable attribute.</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Supply chain independence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Currently dependent on Barricade/INDEVCO supply chain.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is a separate supply chain. Having two face material options (SIB/fiberboard and Plantd/grass) gives Merge4Ward supply chain resilience and product line differentiation between tier configurations.</w:t>
            </w:r>
          </w:p>
        </w:tc>
      </w:tr>
      <w:tr>
        <w:tc>
          <w:tcPr>
            <w:tcW w:type="dxa" w:w="28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Cost</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SIB system cost is established. Pricing confidential.</w:t>
            </w:r>
          </w:p>
        </w:tc>
        <w:tc>
          <w:tcPr>
            <w:tcW w:type="dxa" w:w="34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is pre-revenue at scale — pricing not publicly disclosed. Partnership pricing would be the subject of the initial conversation. The D.R. Horton relationship suggests competitive pricing at volume. This needs to be established before any commercial commitment.</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thick" w:color="196B23" w:sz="28"/>
              <w:bottom w:val="none" w:color="FFFFFF" w:sz="0"/>
              <w:right w:val="none" w:color="FFFFFF" w:sz="0"/>
            </w:tcBorders>
            <w:shd w:fill="D6EDD6" w:val="clear"/>
          </w:tcPr>
          <w:p>
            <w:pPr>
              <w:spacing w:after="0" w:before="0"/>
            </w:pPr>
            <w:r>
              <w:rPr>
                <w:rFonts w:ascii="Arial" w:cs="Arial" w:eastAsia="Arial" w:hAnsi="Arial"/>
              </w:rPr>
              <w:t xml:space="preserve"/>
            </w:r>
          </w:p>
        </w:tc>
        <w:tc>
          <w:tcPr>
            <w:tcW w:type="dxa" w:w="9080"/>
            <w:tcBorders>
              <w:top w:val="none" w:color="FFFFFF" w:sz="0"/>
              <w:left w:val="none" w:color="FFFFFF" w:sz="0"/>
              <w:bottom w:val="none" w:color="FFFFFF" w:sz="0"/>
              <w:right w:val="none" w:color="FFFFFF" w:sz="0"/>
            </w:tcBorders>
            <w:shd w:fill="D6EDD6" w:val="clear"/>
            <w:tcMar>
              <w:top w:type="dxa" w:w="120"/>
              <w:left w:type="dxa" w:w="180"/>
              <w:bottom w:type="dxa" w:w="120"/>
              <w:right w:type="dxa" w:w="140"/>
            </w:tcMar>
          </w:tcPr>
          <w:p>
            <w:pPr>
              <w:spacing w:after="0" w:before="0"/>
            </w:pPr>
            <w:r>
              <w:rPr>
                <w:rFonts w:ascii="Arial" w:cs="Arial" w:eastAsia="Arial" w:hAnsi="Arial"/>
                <w:b/>
                <w:bCs/>
                <w:color w:val="196B23"/>
                <w:sz w:val="21"/>
                <w:szCs w:val="21"/>
              </w:rPr>
              <w:t xml:space="preserve">PRODUCT RECOMMENDATION:  </w:t>
            </w:r>
            <w:r>
              <w:rPr>
                <w:rFonts w:ascii="Arial" w:cs="Arial" w:eastAsia="Arial" w:hAnsi="Arial"/>
                <w:color w:val="1A1A18"/>
                <w:sz w:val="21"/>
                <w:szCs w:val="21"/>
              </w:rPr>
              <w:t xml:space="preserve">The Plantd panel is a technically sound candidate for a 4Ward-branded SIP face layer. The path requires: (1) M4Di commissioning an ICC-ES AC04 sandwich panel test series with Plantd face and GPS foam core, (2) developing a WRB integration detail (tape-joint system), (3) negotiating a supply agreement at volume pricing. The carbon narrative upgrade is the highest-value attribute — it transforms the 4Ward Forward Panel from a high-performance product into a carbon-built product, which is a fundamentally different grant, policy, and brand position.</w:t>
            </w:r>
          </w:p>
        </w:tc>
      </w:tr>
    </w:tbl>
    <w:p>
      <w:pPr>
        <w:spacing w:after="100" w:before="0"/>
      </w:pPr>
      <w:r>
        <w:rPr>
          <w:rFonts w:ascii="Arial" w:cs="Arial" w:eastAsia="Arial" w:hAnsi="Arial"/>
        </w:rPr>
        <w:t xml:space="preserve"/>
      </w:r>
    </w:p>
    <w:p>
      <w:pPr>
        <w:pBdr>
          <w:bottom w:val="single" w:color="D6EDD6" w:sz="4" w:space="3"/>
        </w:pBdr>
        <w:spacing w:after="80" w:before="260"/>
      </w:pPr>
      <w:r>
        <w:rPr>
          <w:rFonts w:ascii="Arial" w:cs="Arial" w:eastAsia="Arial" w:hAnsi="Arial"/>
          <w:b/>
          <w:bCs/>
          <w:color w:val="3B6D11"/>
          <w:sz w:val="22"/>
          <w:szCs w:val="22"/>
        </w:rPr>
        <w:t xml:space="preserve">2A.  The 4Ward Forward Panel— Proposed Assembly (Plantd + Thermo-Brace)</w:t>
      </w:r>
    </w:p>
    <w:p>
      <w:pPr>
        <w:spacing w:after="160" w:before="80"/>
      </w:pPr>
      <w:r>
        <w:rPr>
          <w:rFonts w:ascii="Arial" w:cs="Arial" w:eastAsia="Arial" w:hAnsi="Arial"/>
        </w:rPr>
        <w:t xml:space="preserve">The proposed 4Ward Forward Panel using Plantd and Barricade Thermo-Brace as co-components is a layered assembly:</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80"/>
        <w:gridCol w:w="2680"/>
        <w:gridCol w:w="2200"/>
      </w:tblGrid>
      <w:tr>
        <w:tc>
          <w:tcPr>
            <w:tcW w:type="dxa" w:w="140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Layer</w:t>
            </w:r>
          </w:p>
        </w:tc>
        <w:tc>
          <w:tcPr>
            <w:tcW w:type="dxa" w:w="308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Material</w:t>
            </w:r>
          </w:p>
        </w:tc>
        <w:tc>
          <w:tcPr>
            <w:tcW w:type="dxa" w:w="268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Function</w:t>
            </w:r>
          </w:p>
        </w:tc>
        <w:tc>
          <w:tcPr>
            <w:tcW w:type="dxa" w:w="220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Source</w:t>
            </w:r>
          </w:p>
        </w:tc>
      </w:tr>
      <w:tr>
        <w:tc>
          <w:tcPr>
            <w:tcW w:type="dxa" w:w="14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Exterior face</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7/16″ structural panel (grass fiber + resin, IBC certified)</w:t>
            </w:r>
          </w:p>
        </w:tc>
        <w:tc>
          <w:tcPr>
            <w:tcW w:type="dxa" w:w="26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Structural sheathing, racking resistance, nailbase, primary WRB substrate</w:t>
            </w:r>
          </w:p>
        </w:tc>
        <w:tc>
          <w:tcPr>
            <w:tcW w:type="dxa" w:w="22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Plantd Materials OEM supply</w:t>
            </w:r>
          </w:p>
        </w:tc>
      </w:tr>
      <w:tr>
        <w:tc>
          <w:tcPr>
            <w:tcW w:type="dxa" w:w="14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WRB / air barrier</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Barricade WRB membrane tape at joints OR integrated Thermo-Brace WRB overlay</w:t>
            </w:r>
          </w:p>
        </w:tc>
        <w:tc>
          <w:tcPr>
            <w:tcW w:type="dxa" w:w="2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Weather-resistive barrier + air barrier function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Barricade / INDEVCO</w:t>
            </w:r>
          </w:p>
        </w:tc>
      </w:tr>
      <w:tr>
        <w:tc>
          <w:tcPr>
            <w:tcW w:type="dxa" w:w="14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CI layer</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Barricade Thermo-Brace Blue SIB™ GPS foam board (R-5 min. per TER 1507-09)</w:t>
            </w:r>
          </w:p>
        </w:tc>
        <w:tc>
          <w:tcPr>
            <w:tcW w:type="dxa" w:w="26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Continuous insulation, thermal bridge elimination</w:t>
            </w:r>
          </w:p>
        </w:tc>
        <w:tc>
          <w:tcPr>
            <w:tcW w:type="dxa" w:w="22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Barricade / INDEVCO</w:t>
            </w:r>
          </w:p>
        </w:tc>
      </w:tr>
      <w:tr>
        <w:tc>
          <w:tcPr>
            <w:tcW w:type="dxa" w:w="14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Interior face</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OSB or Plantd panel (optional, based on SIP spec)</w:t>
            </w:r>
          </w:p>
        </w:tc>
        <w:tc>
          <w:tcPr>
            <w:tcW w:type="dxa" w:w="2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Interior structural face / gypsum substrate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TBD by assembly test</w:t>
            </w:r>
          </w:p>
        </w:tc>
      </w:tr>
      <w:tr>
        <w:tc>
          <w:tcPr>
            <w:tcW w:type="dxa" w:w="14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Facing spec</w:t>
            </w:r>
          </w:p>
        </w:tc>
        <w:tc>
          <w:tcPr>
            <w:tcW w:type="dxa" w:w="30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G90 galvanized metal spline connections at SIP panel joints</w:t>
            </w:r>
          </w:p>
        </w:tc>
        <w:tc>
          <w:tcPr>
            <w:tcW w:type="dxa" w:w="26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Load transfer between panels at field and bearing conditions</w:t>
            </w:r>
          </w:p>
        </w:tc>
        <w:tc>
          <w:tcPr>
            <w:tcW w:type="dxa" w:w="22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Standard SIP hardware</w:t>
            </w:r>
          </w:p>
        </w:tc>
      </w:tr>
    </w:tbl>
    <w:p>
      <w:pPr>
        <w:spacing w:after="100" w:before="0"/>
      </w:pPr>
      <w:r>
        <w:rPr>
          <w:rFonts w:ascii="Arial" w:cs="Arial" w:eastAsia="Arial" w:hAnsi="Arial"/>
        </w:rPr>
        <w:t xml:space="preserve"/>
      </w:r>
    </w:p>
    <w:p>
      <w:pPr>
        <w:spacing w:after="160" w:before="80"/>
      </w:pPr>
      <w:r>
        <w:rPr>
          <w:rFonts w:ascii="Arial" w:cs="Arial" w:eastAsia="Arial" w:hAnsi="Arial"/>
          <w:i/>
          <w:iCs/>
          <w:color w:val="555552"/>
          <w:sz w:val="18"/>
          <w:szCs w:val="18"/>
        </w:rPr>
        <w:t xml:space="preserve">This assembly produces a panel that carries TER 1507-09 provenance (Barricade CI and WRB), a Plantd structural face with IBC certification, and a carbon-built narrative. The full assembly would require a new ICC-ES evaluation under AC04 for the specific combination — but neither material is novel or untest. Both carry existing listings. The combination is an engineering task, not a research task.</w:t>
      </w:r>
    </w:p>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3.  Seaford Manufacturing Integration — Plantd + Merge4Ward Co-Location</w:t>
      </w:r>
    </w:p>
    <w:p>
      <w:pPr>
        <w:spacing w:after="160" w:before="80"/>
      </w:pPr>
      <w:r>
        <w:rPr>
          <w:rFonts w:ascii="Arial" w:cs="Arial" w:eastAsia="Arial" w:hAnsi="Arial"/>
        </w:rPr>
        <w:t xml:space="preserve">This is where the conversation becomes genuinely strategic rather than transactional. Plantd’s manufacturing model is vertically integrated and modular — designed to be replicated at multiple geographic nodes rather than scaled indefinitely at a single location. The company’s Series B announcement explicitly references ‘next-generation production technology designed to rapidly scale manufacturing capacity’ and ‘expanding Plantd’s raw material supply chain.’ A Delaware manufacturing node addresses both of those priorities simultaneously.</w:t>
      </w:r>
    </w:p>
    <w:p>
      <w:pPr>
        <w:spacing w:after="100" w:before="0"/>
      </w:pPr>
      <w:r>
        <w:rPr>
          <w:rFonts w:ascii="Arial" w:cs="Arial" w:eastAsia="Arial" w:hAnsi="Arial"/>
        </w:rPr>
        <w:t xml:space="preserve"/>
      </w:r>
    </w:p>
    <w:p>
      <w:pPr>
        <w:pBdr>
          <w:bottom w:val="single" w:color="D6EDD6" w:sz="4" w:space="3"/>
        </w:pBdr>
        <w:spacing w:after="80" w:before="260"/>
      </w:pPr>
      <w:r>
        <w:rPr>
          <w:rFonts w:ascii="Arial" w:cs="Arial" w:eastAsia="Arial" w:hAnsi="Arial"/>
          <w:b/>
          <w:bCs/>
          <w:color w:val="1565C0"/>
          <w:sz w:val="22"/>
          <w:szCs w:val="22"/>
        </w:rPr>
        <w:t xml:space="preserve">3A.  Why Delaware Works for Plantd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Factor</w:t>
            </w:r>
          </w:p>
        </w:tc>
        <w:tc>
          <w:tcPr>
            <w:tcW w:type="dxa" w:w="656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Delaware / Seaford value proposition</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Geographic expansion</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Plantd’s current production is entirely in Oxford, NC (Granville County). A Delaware node brings the manufacturing footprint 400 miles north, serving the entire Mid-Atlantic market — the largest new construction market in the US by unit volume. Delaware, Maryland, Virginia, Pennsylvania, and New Jersey builders represent a massive distribution upgrade over NC-only supply.</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Port access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Port of Wilmington. Direct container export capability to Caribbean. Plantd’s grass panel in Caribbean market as SIP facing = a genuinely locally-produced, carbon-negative housing panel exported from the US. This aligns with NaRRA Jamaica’s American manufacturing preference and CARICOM's regional sourcing priorities.</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Agricultural feedstock</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Sussex County, Delaware has available agricultural land at approximately $43,000/acre average with active farmland preservation programs, crop share lease options, and University of Delaware CANR extension support for new energy crop introductions. Southern Delaware has the soil profile, the water table, and the unused agricultural capacity that Plantd’s biomass supply chain model requires.</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Policy environment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City of Wilmington Mayor’s office letter of support. OED partnership. Governor of Delaware meeting planned Q3/Q4 2026. State of Delaware has no inventory tax, no sales tax. Delaware Economic Development Office manufacturing location incentives. Delaware SBIR, USDA Rural Development, and EDA manufacturing grants all accessible from Seaford.</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DuPont site legacy</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The INVISTA/DuPont site in Seaford — 650 acres, Norfolk Southern rail spur, Nanticoke River access, existing industrial infrastructure — is exactly the kind of facility a modular automated manufacturing platform needs. Plantd’s ‘Factory of the Future’ vision and the DuPont site’s industrial heritage are a narrative alignment that matters for Delaware government support.</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Workforce synergy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L.E.E.P., Inc. and the M4Di Academy’s Track A manufacturing workforce program in Seaford provides the trained labor pipeline that a Plantd manufacturing expansion requires. Merge4Ward brings the workforce program. Plantd brings the manufacturing technology. The Seaford community gets the jobs.</w:t>
            </w:r>
          </w:p>
        </w:tc>
      </w:tr>
    </w:tbl>
    <w:p>
      <w:pPr>
        <w:spacing w:after="100" w:before="0"/>
      </w:pPr>
      <w:r>
        <w:rPr>
          <w:rFonts w:ascii="Arial" w:cs="Arial" w:eastAsia="Arial" w:hAnsi="Arial"/>
        </w:rPr>
        <w:t xml:space="preserve"/>
      </w:r>
    </w:p>
    <w:p>
      <w:pPr>
        <w:pBdr>
          <w:bottom w:val="single" w:color="D6EDD6" w:sz="4" w:space="3"/>
        </w:pBdr>
        <w:spacing w:after="80" w:before="260"/>
      </w:pPr>
      <w:r>
        <w:rPr>
          <w:rFonts w:ascii="Arial" w:cs="Arial" w:eastAsia="Arial" w:hAnsi="Arial"/>
          <w:b/>
          <w:bCs/>
          <w:color w:val="1565C0"/>
          <w:sz w:val="22"/>
          <w:szCs w:val="22"/>
        </w:rPr>
        <w:t xml:space="preserve">3B.  Co-Location Model — What Shared Operations Could Look Like</w:t>
      </w:r>
    </w:p>
    <w:p>
      <w:pPr>
        <w:spacing w:after="160" w:before="80"/>
      </w:pPr>
      <w:r>
        <w:rPr>
          <w:rFonts w:ascii="Arial" w:cs="Arial" w:eastAsia="Arial" w:hAnsi="Arial"/>
        </w:rPr>
        <w:t xml:space="preserve">The most interesting near-term scenario is not an acquisition or a joint venture — it is a shared facility arrangement at the Seaford industrial campus where Plantd operates a grass panel production line and Merge4Ward operates a SIP assembly line that uses Plantd panels as face material. The two operations are logistically complementary:</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4"/>
              <w:left w:val="single" w:color="CCCCCC" w:sz="4"/>
              <w:bottom w:val="single" w:color="CCCCCC" w:sz="4"/>
              <w:right w:val="single" w:color="CCCCCC" w:sz="4"/>
            </w:tcBorders>
            <w:shd w:fill="196B23"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Operation</w:t>
            </w:r>
          </w:p>
        </w:tc>
        <w:tc>
          <w:tcPr>
            <w:tcW w:type="dxa" w:w="3000"/>
            <w:tcBorders>
              <w:top w:val="single" w:color="CCCCCC" w:sz="4"/>
              <w:left w:val="single" w:color="CCCCCC" w:sz="4"/>
              <w:bottom w:val="single" w:color="CCCCCC" w:sz="4"/>
              <w:right w:val="single" w:color="CCCCCC" w:sz="4"/>
            </w:tcBorders>
            <w:shd w:fill="3B6D11"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Plantd runs</w:t>
            </w:r>
          </w:p>
        </w:tc>
        <w:tc>
          <w:tcPr>
            <w:tcW w:type="dxa" w:w="30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Merge4Ward runs</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Grass panel production</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Roll-form grass fiber into structural panels. Automated, clean-powered manufacturing per Plantd’s Factory of the Future model.</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N/A — Merge4Ward uses Plantd output as input.</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SIP assembly line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Supplies Plantd-faced panels to Merge4Ward SIP line at internal transfer price.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Takes Plantd panels + GPS foam core + Barricade WRB tape + metal splines and assembles 4Ward Forward Panel.</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LGS roll-forming</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N/A</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CNC roll-forming of G90/G235 LGS framing for 4WardCrete Caribbean kits and domestic use.</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AAC panel staging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N/A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OEM AAC panel receiving + kit assembly + container preparation for Caribbean export.</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M4Di ALDi QR labeling</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N/A</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All kit components labeled with ALDi Tracker QR from M4Di platform.</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Shared overhead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Facility lease, utilities, loading docks, security, grounds.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Same.</w:t>
            </w:r>
          </w:p>
        </w:tc>
      </w:tr>
      <w:tr>
        <w:tc>
          <w:tcPr>
            <w:tcW w:type="dxa" w:w="336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Feedstock supply chain</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3B6D11"/>
                <w:sz w:val="18"/>
                <w:szCs w:val="18"/>
              </w:rPr>
              <w:t xml:space="preserve">Manages grass cultivation with Sussex County farmers and via University of Delaware extension.</w:t>
            </w:r>
          </w:p>
        </w:tc>
        <w:tc>
          <w:tcPr>
            <w:tcW w:type="dxa" w:w="3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565C0"/>
                <w:sz w:val="18"/>
                <w:szCs w:val="18"/>
              </w:rPr>
              <w:t xml:space="preserve">Provides local farmer connections via L.E.E.P. agricultural workforce network.</w:t>
            </w:r>
          </w:p>
        </w:tc>
      </w:tr>
    </w:tbl>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4.  Delaware Farmland — Feedstock Supply Chain Opportunity</w:t>
      </w:r>
    </w:p>
    <w:p>
      <w:pPr>
        <w:spacing w:after="160" w:before="80"/>
      </w:pPr>
      <w:r>
        <w:rPr>
          <w:rFonts w:ascii="Arial" w:cs="Arial" w:eastAsia="Arial" w:hAnsi="Arial"/>
        </w:rPr>
        <w:t xml:space="preserve">Plantd’s vertically integrated supply chain model requires agricultural land to grow proprietary perennial grass biomass. Currently this supply chain is entirely in North Carolina and Virginia. The proposition for Delaware is a natural geographic extension — and one that carries specific advantages the North Carolina operation does not.</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3B6D11"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Factor</w:t>
            </w:r>
          </w:p>
        </w:tc>
        <w:tc>
          <w:tcPr>
            <w:tcW w:type="dxa" w:w="6560"/>
            <w:tcBorders>
              <w:top w:val="single" w:color="CCCCCC" w:sz="4"/>
              <w:left w:val="single" w:color="CCCCCC" w:sz="4"/>
              <w:bottom w:val="single" w:color="CCCCCC" w:sz="4"/>
              <w:right w:val="single" w:color="CCCCCC" w:sz="4"/>
            </w:tcBorders>
            <w:shd w:fill="3B6D11"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Delaware farmland assessment</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Available farmland</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21 farms for sale in Sussex County as of June 2026 at an average of $43,000/acre. Kent County and Sussex County identified by University of Delaware as Delaware’s best agricultural land, with fertile soils and established agricultural infrastructure.</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Agricultural land lease options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University of Delaware reports that leased farmland accounts for 31% of all Delaware farmland. Crop-share and fixed cash rent lease structures are both well-established. Flex rent leases common. Perennial grass energy crops are non-standard but legally compatible with existing lease frameworks.</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Soil profile</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Sussex County’s primary soils are Sassafras sandy loam and Keyport sandy loam — well-draining, low-erosion, suitable for perennial grass energy crop cultivation. Historically used for corn, soy, and poultry litter management. Grass feedstock transitions well from corn/soy rotations.</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Delaware Agricultural Lands Preservation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Delaware Aglands Preservation Foundation actively preserves farmland in Sussex County. Conservation easement structures under NRCS ACEP program contribute up to 50% of fair market value of agricultural land easements — reducing land acquisition cost and creating a policy alignment with state goals. USDA Rural Development and NRCS provide financial assistance.</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University of Delaware extension</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UD Cooperative Extension (CANR) has active Sussex County programming. New energy crop introduction (perennial grass) would qualify for UD extension research partnership and potentially attract USDA SBIR funding for biomass supply chain development.</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Workforce connection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Merge4Ward’s L.E.E.P. agricultural workforce track (Track A Seaford) can extend to farmland management. Former agricultural workers displaced by poultry industry consolidation in western Sussex County are a natural recruiting base for grass biomass cultivation — land they know, work they know, product that is new.</w:t>
            </w:r>
          </w:p>
        </w:tc>
      </w:tr>
      <w:tr>
        <w:tc>
          <w:tcPr>
            <w:tcW w:type="dxa" w:w="2800"/>
            <w:tcBorders>
              <w:top w:val="single" w:color="CCCCCC" w:sz="4"/>
              <w:left w:val="single" w:color="CCCCCC" w:sz="4"/>
              <w:bottom w:val="single" w:color="CCCCCC" w:sz="4"/>
              <w:right w:val="single" w:color="CCCCCC" w:sz="4"/>
            </w:tcBorders>
            <w:shd w:fill="C0DD97"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Land acquisition strategy</w:t>
            </w:r>
          </w:p>
        </w:tc>
        <w:tc>
          <w:tcPr>
            <w:tcW w:type="dxa" w:w="65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Phase 1: lease agreements with existing Sussex County farmers for 500–1,000 acres of grass cultivation. Phase 2: option to purchase on high-performing parcels as revenue enables. Phase 3: outright land ownership at scale. Plantd’s target of 20,000 acres under management by 2030 could include 2,000–5,000 Delaware acres as a northern node.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thick" w:color="BA7517" w:sz="28"/>
              <w:bottom w:val="none" w:color="FFFFFF" w:sz="0"/>
              <w:right w:val="none" w:color="FFFFFF" w:sz="0"/>
            </w:tcBorders>
            <w:shd w:fill="FFF3CD" w:val="clear"/>
          </w:tcPr>
          <w:p>
            <w:pPr>
              <w:spacing w:after="0" w:before="0"/>
            </w:pPr>
            <w:r>
              <w:rPr>
                <w:rFonts w:ascii="Arial" w:cs="Arial" w:eastAsia="Arial" w:hAnsi="Arial"/>
              </w:rPr>
              <w:t xml:space="preserve"/>
            </w:r>
          </w:p>
        </w:tc>
        <w:tc>
          <w:tcPr>
            <w:tcW w:type="dxa" w:w="9080"/>
            <w:tcBorders>
              <w:top w:val="none" w:color="FFFFFF" w:sz="0"/>
              <w:left w:val="none" w:color="FFFFFF" w:sz="0"/>
              <w:bottom w:val="none" w:color="FFFFFF" w:sz="0"/>
              <w:right w:val="none" w:color="FFFFFF" w:sz="0"/>
            </w:tcBorders>
            <w:shd w:fill="FFF3CD" w:val="clear"/>
            <w:tcMar>
              <w:top w:type="dxa" w:w="120"/>
              <w:left w:type="dxa" w:w="180"/>
              <w:bottom w:type="dxa" w:w="120"/>
              <w:right w:type="dxa" w:w="140"/>
            </w:tcMar>
          </w:tcPr>
          <w:p>
            <w:pPr>
              <w:spacing w:after="0" w:before="0"/>
            </w:pPr>
            <w:r>
              <w:rPr>
                <w:rFonts w:ascii="Arial" w:cs="Arial" w:eastAsia="Arial" w:hAnsi="Arial"/>
                <w:b/>
                <w:bCs/>
                <w:color w:val="BA7517"/>
                <w:sz w:val="21"/>
                <w:szCs w:val="21"/>
              </w:rPr>
              <w:t xml:space="preserve">LAND ACQUISITION FRAMING FOR THE CONVERSATION:  </w:t>
            </w:r>
            <w:r>
              <w:rPr>
                <w:rFonts w:ascii="Arial" w:cs="Arial" w:eastAsia="Arial" w:hAnsi="Arial"/>
                <w:color w:val="1A1A18"/>
                <w:sz w:val="21"/>
                <w:szCs w:val="21"/>
              </w:rPr>
              <w:t xml:space="preserve">Do not lead with land acquisition in the initial Silvernail conversation. Lead with product partnership and Seaford manufacturing. Land acquisition is the third-order conversation that follows from Plantd expressing interest in the Delaware geographic expansion. If they do, the Sussex County farmland opportunity is ready to present as a turn-key supply chain story: lease agreements with existing farmers, UD extension support, state preservation program alignment, and a workforce pipeline already in place.</w:t>
            </w:r>
          </w:p>
        </w:tc>
      </w:tr>
    </w:tbl>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5.  Ecosystem Integration — Where Plantd Fits the Forward Building System</w:t>
      </w:r>
    </w:p>
    <w:p>
      <w:pPr>
        <w:spacing w:after="160" w:before="80"/>
      </w:pPr>
      <w:r>
        <w:rPr>
          <w:rFonts w:ascii="Arial" w:cs="Arial" w:eastAsia="Arial" w:hAnsi="Arial"/>
        </w:rPr>
        <w:t xml:space="preserve">The Forward Building System’s value proposition is not any single product. It is the ecosystem: predevelopment intelligence (M4Di OI Tool), panelized construction (4Ward-SIB Forward Panel + 4WardCrete), AOR delivery (Aubyn Architecture / M4D), installation workforce (L.E.E.P. Academy), manufacturing (Seaford), export logistics (Port of Wilmington), and policy support (City of Wilmington, OED, Mayor’s office). Plantd integrates into multiple nodes of that ecosystem simultaneously:</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Ecosystem node</w:t>
            </w:r>
          </w:p>
        </w:tc>
        <w:tc>
          <w:tcPr>
            <w:tcW w:type="dxa" w:w="400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How Plantd integrates</w:t>
            </w:r>
          </w:p>
        </w:tc>
        <w:tc>
          <w:tcPr>
            <w:tcW w:type="dxa" w:w="2960"/>
            <w:tcBorders>
              <w:top w:val="single" w:color="CCCCCC" w:sz="4"/>
              <w:left w:val="single" w:color="CCCCCC" w:sz="4"/>
              <w:bottom w:val="single" w:color="CCCCCC" w:sz="4"/>
              <w:right w:val="single" w:color="CCCCCC" w:sz="4"/>
            </w:tcBorders>
            <w:shd w:fill="0F4A18"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Strategic value added</w:t>
            </w:r>
          </w:p>
        </w:tc>
      </w:tr>
      <w:tr>
        <w:tc>
          <w:tcPr>
            <w:tcW w:type="dxa" w:w="24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4Ward Forward Panel
(product)</w:t>
            </w:r>
          </w:p>
        </w:tc>
        <w:tc>
          <w:tcPr>
            <w:tcW w:type="dxa" w:w="4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panel as structural face layer. Barricade Thermo-Brace as CI/WRB layer. Co-branded 4Ward Forward Panel with documented carbon-built performance.</w:t>
            </w:r>
          </w:p>
        </w:tc>
        <w:tc>
          <w:tcPr>
            <w:tcW w:type="dxa" w:w="29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Carbon narrative transforms product from high-performance panel to carbon-built panel. Fundamentally different grant, policy, and brand position.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bCs/>
                <w:color w:val="534AB7"/>
                <w:sz w:val="18"/>
                <w:szCs w:val="18"/>
              </w:rPr>
              <w:t xml:space="preserve">M4Di OI Tool
(predevelopment intelligence)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panel as a new unit price library entry in ALDDB. Carbon sequestration value as a documented project attribute. Carbon credit monetization potential as a future OI Tool output.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M4Di projects using Plantd-faced panels can document carbon sequestration as a quantified project attribute. First predevelopment platform to integrate carbon lifecycle data at the unit price level.</w:t>
            </w:r>
          </w:p>
        </w:tc>
      </w:tr>
      <w:tr>
        <w:tc>
          <w:tcPr>
            <w:tcW w:type="dxa" w:w="24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0F6E56"/>
                <w:sz w:val="18"/>
                <w:szCs w:val="18"/>
              </w:rPr>
              <w:t xml:space="preserve">City of Wilmington OED
(policy &amp; institutional)</w:t>
            </w:r>
          </w:p>
        </w:tc>
        <w:tc>
          <w:tcPr>
            <w:tcW w:type="dxa" w:w="4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 M4D = American-made, carbon-built housing at $220K–$250K with a documented climate impact. OED adopted M4Di as cost-verification standard. Carbon-built panels strengthen the policy narrative for OED’s affordable housing program and any federal climate-related housing grants.</w:t>
            </w:r>
          </w:p>
        </w:tc>
        <w:tc>
          <w:tcPr>
            <w:tcW w:type="dxa" w:w="29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Wilmington becomes the first US city to procure affordable housing built from carbon-built grass panels. This is a press release for both OED and Plantd. Mayor’s office gets a genuine climate win that is also an affordability win.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bCs/>
                <w:color w:val="0F6E56"/>
                <w:sz w:val="18"/>
                <w:szCs w:val="18"/>
              </w:rPr>
              <w:t xml:space="preserve">Mayor’s office / City of Wilmington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Forward Housing Program using Plantd panels: ‘Wilmington’s affordable homes are built from grass, not trees, and lock carbon in the walls.’ Carbon-built housing as a climate policy deliverable.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Turns a housing program into a climate action program without changing the product delivery model or the price point.</w:t>
            </w:r>
          </w:p>
        </w:tc>
      </w:tr>
      <w:tr>
        <w:tc>
          <w:tcPr>
            <w:tcW w:type="dxa" w:w="24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Seaford manufacturing
(production)</w:t>
            </w:r>
          </w:p>
        </w:tc>
        <w:tc>
          <w:tcPr>
            <w:tcW w:type="dxa" w:w="4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produces grass panels at Seaford. Merge4Ward assembles them into 4Ward Forward Panels + LGS kits. L.E.E.P. Academy trains the manufacturing workforce. Shared facility, shared overhead.</w:t>
            </w:r>
          </w:p>
        </w:tc>
        <w:tc>
          <w:tcPr>
            <w:tcW w:type="dxa" w:w="29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Co-location turns two separate supply chains into one integrated manufacturing node. Reduces logistics cost, strengthens grant applications, creates a compelling ‘Factory of the Future + Next-Gen American Housing’ story.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bCs/>
                <w:color w:val="3B6D11"/>
                <w:sz w:val="18"/>
                <w:szCs w:val="18"/>
              </w:rPr>
              <w:t xml:space="preserve">Delaware farmland
(supply chain)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Sussex County farmers grow Plantd’s proprietary perennial grass feedstock. UD extension provides agronomic support. L.E.E.P. agricultural workforce manages field operations.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Delaware becomes a Plantd agricultural supply node. Farmers get a new high-value crop. L.E.E.P. gains an agricultural employment track. Delaware Agriculture Department gets a new industry.</w:t>
            </w:r>
          </w:p>
        </w:tc>
      </w:tr>
      <w:tr>
        <w:tc>
          <w:tcPr>
            <w:tcW w:type="dxa" w:w="24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Caribbean export
(Forward Shelter Kit)</w:t>
            </w:r>
          </w:p>
        </w:tc>
        <w:tc>
          <w:tcPr>
            <w:tcW w:type="dxa" w:w="4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Plantd-faced panels as the SIP component of the 4WardCrete Forward Shelter Kit. A grass-faced, carbon-built, hurricane-resistant panel is a remarkable product story for Jamaica NaRRA and NHT conversations.</w:t>
            </w:r>
          </w:p>
        </w:tc>
        <w:tc>
          <w:tcPr>
            <w:tcW w:type="dxa" w:w="29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Caribbean export: Made in Delaware, grass-grown, carbon-built, hurricane-resistant. CARICOM countries have strong interest in carbon footprint reduction of post-disaster reconstruction. This is a genuine differentiator vs. Chinese prefab or conventional CMU block.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Port of Wilmington
(export logistics)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Plantd’s Delaware manufacturing output exports to Caribbean via Port of Wilmington. Carbon credits generated by sequestered biomass in exported panels could be monetized in Caribbean carbon markets.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Plantd gains Caribbean export channel it currently has no path to from Oxford NC. Merge4Ward gains a carbon-built panel product for the export kit. Both benefit from the shared logistics channel.</w:t>
            </w:r>
          </w:p>
        </w:tc>
      </w:tr>
      <w:tr>
        <w:tc>
          <w:tcPr>
            <w:tcW w:type="dxa" w:w="240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bCs/>
                <w:color w:val="196B23"/>
                <w:sz w:val="18"/>
                <w:szCs w:val="18"/>
              </w:rPr>
              <w:t xml:space="preserve">Wells Fargo / Enterprise grant
(capital strategy)</w:t>
            </w:r>
          </w:p>
        </w:tc>
        <w:tc>
          <w:tcPr>
            <w:tcW w:type="dxa" w:w="400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partnership strengthens M4D’s Wells Fargo / Enterprise grant application on climate, affordability, and manufacturing dimensions simultaneously.</w:t>
            </w:r>
          </w:p>
        </w:tc>
        <w:tc>
          <w:tcPr>
            <w:tcW w:type="dxa" w:w="296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555552"/>
                <w:sz w:val="18"/>
                <w:szCs w:val="18"/>
              </w:rPr>
              <w:t xml:space="preserve">Carbon-built forward housing + American manufacturing jobs + agricultural supply chain + Caribbean export = an extremely strong climate + affordability + economic development grant narrative.</w:t>
            </w:r>
          </w:p>
        </w:tc>
      </w:tr>
    </w:tbl>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6.  Honest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B71C1C"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Risk</w:t>
            </w:r>
          </w:p>
        </w:tc>
        <w:tc>
          <w:tcPr>
            <w:tcW w:type="dxa" w:w="3280"/>
            <w:tcBorders>
              <w:top w:val="single" w:color="CCCCCC" w:sz="4"/>
              <w:left w:val="single" w:color="CCCCCC" w:sz="4"/>
              <w:bottom w:val="single" w:color="CCCCCC" w:sz="4"/>
              <w:right w:val="single" w:color="CCCCCC" w:sz="4"/>
            </w:tcBorders>
            <w:shd w:fill="B71C1C"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Exposure</w:t>
            </w:r>
          </w:p>
        </w:tc>
        <w:tc>
          <w:tcPr>
            <w:tcW w:type="dxa" w:w="3280"/>
            <w:tcBorders>
              <w:top w:val="single" w:color="CCCCCC" w:sz="4"/>
              <w:left w:val="single" w:color="CCCCCC" w:sz="4"/>
              <w:bottom w:val="single" w:color="CCCCCC" w:sz="4"/>
              <w:right w:val="single" w:color="CCCCCC" w:sz="4"/>
            </w:tcBorders>
            <w:shd w:fill="196B23"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28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20"/>
            </w:tcMar>
            <w:vAlign w:val="top"/>
          </w:tcPr>
          <w:p>
            <w:pPr>
              <w:spacing w:after="0" w:before="0"/>
              <w:jc w:val="left"/>
            </w:pPr>
            <w:r>
              <w:rPr>
                <w:rFonts w:ascii="Arial" w:cs="Arial" w:eastAsia="Arial" w:hAnsi="Arial"/>
                <w:b/>
                <w:bCs/>
                <w:color w:val="B71C1C"/>
                <w:sz w:val="18"/>
                <w:szCs w:val="18"/>
              </w:rPr>
              <w:t xml:space="preserve">Plantd not interested in Delaware expansion</w:t>
            </w:r>
          </w:p>
        </w:tc>
        <w:tc>
          <w:tcPr>
            <w:tcW w:type="dxa" w:w="32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is scaling in NC. A Delaware node may not be a current priority, especially with Series B capital committed to NC scale-up.</w:t>
            </w:r>
          </w:p>
        </w:tc>
        <w:tc>
          <w:tcPr>
            <w:tcW w:type="dxa" w:w="328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96B23"/>
                <w:sz w:val="18"/>
                <w:szCs w:val="18"/>
              </w:rPr>
              <w:t xml:space="preserve">Frame Delaware as incremental expansion opportunity, not a request for immediate commitment. Initial ask: product supply conversation, not co-location. Delaware surfaces naturally if product conversation advances.</w:t>
            </w:r>
          </w:p>
        </w:tc>
      </w:tr>
      <w:tr>
        <w:tc>
          <w:tcPr>
            <w:tcW w:type="dxa" w:w="28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20"/>
            </w:tcMar>
            <w:vAlign w:val="top"/>
          </w:tcPr>
          <w:p>
            <w:pPr>
              <w:spacing w:after="0" w:before="0"/>
              <w:jc w:val="left"/>
            </w:pPr>
            <w:r>
              <w:rPr>
                <w:rFonts w:ascii="Arial" w:cs="Arial" w:eastAsia="Arial" w:hAnsi="Arial"/>
                <w:b/>
                <w:bCs/>
                <w:color w:val="B71C1C"/>
                <w:sz w:val="18"/>
                <w:szCs w:val="18"/>
              </w:rPr>
              <w:t xml:space="preserve">Pricing not competitive with SIB</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Plantd panel pricing is not publicly disclosed. If grass panel + GPS foam + WRB tape costs materially more than the current SIB system per installed panel SF, the economics break.</w:t>
            </w:r>
          </w:p>
        </w:tc>
        <w:tc>
          <w:tcPr>
            <w:tcW w:type="dxa" w:w="328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96B23"/>
                <w:sz w:val="18"/>
                <w:szCs w:val="18"/>
              </w:rPr>
              <w:t xml:space="preserve">Explore partnership pricing (volume commitment, co-branding, supply chain integration) rather than spot market pricing. Carbon credit value of Plantd-faced panels may partially offset premium. This is the most critical financial question before any commercial commitment.</w:t>
            </w:r>
          </w:p>
        </w:tc>
      </w:tr>
      <w:tr>
        <w:tc>
          <w:tcPr>
            <w:tcW w:type="dxa" w:w="28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20"/>
            </w:tcMar>
            <w:vAlign w:val="top"/>
          </w:tcPr>
          <w:p>
            <w:pPr>
              <w:spacing w:after="0" w:before="0"/>
              <w:jc w:val="left"/>
            </w:pPr>
            <w:r>
              <w:rPr>
                <w:rFonts w:ascii="Arial" w:cs="Arial" w:eastAsia="Arial" w:hAnsi="Arial"/>
                <w:b/>
                <w:bCs/>
                <w:color w:val="B71C1C"/>
                <w:sz w:val="18"/>
                <w:szCs w:val="18"/>
              </w:rPr>
              <w:t xml:space="preserve">ICC-ES AC04 testing required for SIP use</w:t>
            </w:r>
          </w:p>
        </w:tc>
        <w:tc>
          <w:tcPr>
            <w:tcW w:type="dxa" w:w="32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A new ICC-ES evaluation under AC04 is required before the Plantd-faced SIP can be sold under IBC. This takes 6–12 months and costs $30K–$60K in testing and documentation.</w:t>
            </w:r>
          </w:p>
        </w:tc>
        <w:tc>
          <w:tcPr>
            <w:tcW w:type="dxa" w:w="328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96B23"/>
                <w:sz w:val="18"/>
                <w:szCs w:val="18"/>
              </w:rPr>
              <w:t xml:space="preserve">Propose a co-development arrangement where M4D and Plantd share the cost of the AC04 test series as a joint commercialization investment. Plantd benefits from a new ICC-ES certified assembly. M4D gets a differentiated product.</w:t>
            </w:r>
          </w:p>
        </w:tc>
      </w:tr>
      <w:tr>
        <w:tc>
          <w:tcPr>
            <w:tcW w:type="dxa" w:w="28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20"/>
            </w:tcMar>
            <w:vAlign w:val="top"/>
          </w:tcPr>
          <w:p>
            <w:pPr>
              <w:spacing w:after="0" w:before="0"/>
              <w:jc w:val="left"/>
            </w:pPr>
            <w:r>
              <w:rPr>
                <w:rFonts w:ascii="Arial" w:cs="Arial" w:eastAsia="Arial" w:hAnsi="Arial"/>
                <w:b/>
                <w:bCs/>
                <w:color w:val="B71C1C"/>
                <w:sz w:val="18"/>
                <w:szCs w:val="18"/>
              </w:rPr>
              <w:t xml:space="preserve">Supply chain dependence</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Using Plantd as a face layer creates supply chain dependence on a single-source grass panel supplier. Any Plantd production disruption affects M4D panel availability.</w:t>
            </w:r>
          </w:p>
        </w:tc>
        <w:tc>
          <w:tcPr>
            <w:tcW w:type="dxa" w:w="328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96B23"/>
                <w:sz w:val="18"/>
                <w:szCs w:val="18"/>
              </w:rPr>
              <w:t xml:space="preserve">Retain Barricade SIB as the primary system. Position Plantd-faced assembly as a premium tier (T3/T4 Forward Home or Carbon+ configuration) rather than replacing the base system. Two-track product portfolio.</w:t>
            </w:r>
          </w:p>
        </w:tc>
      </w:tr>
      <w:tr>
        <w:tc>
          <w:tcPr>
            <w:tcW w:type="dxa" w:w="28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20"/>
            </w:tcMar>
            <w:vAlign w:val="top"/>
          </w:tcPr>
          <w:p>
            <w:pPr>
              <w:spacing w:after="0" w:before="0"/>
              <w:jc w:val="left"/>
            </w:pPr>
            <w:r>
              <w:rPr>
                <w:rFonts w:ascii="Arial" w:cs="Arial" w:eastAsia="Arial" w:hAnsi="Arial"/>
                <w:b/>
                <w:bCs/>
                <w:color w:val="B71C1C"/>
                <w:sz w:val="18"/>
                <w:szCs w:val="18"/>
              </w:rPr>
              <w:t xml:space="preserve">Delaware farmland competition</w:t>
            </w:r>
          </w:p>
        </w:tc>
        <w:tc>
          <w:tcPr>
            <w:tcW w:type="dxa" w:w="32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Poultry industry land use, existing ag preservation easements, and rising land values in Sussex County create competition for optimal perennial grass cultivation parcels.</w:t>
            </w:r>
          </w:p>
        </w:tc>
        <w:tc>
          <w:tcPr>
            <w:tcW w:type="dxa" w:w="3280"/>
            <w:tcBorders>
              <w:top w:val="single" w:color="CCCCCC" w:sz="4"/>
              <w:left w:val="single" w:color="CCCCCC" w:sz="4"/>
              <w:bottom w:val="single" w:color="CCCCCC" w:sz="4"/>
              <w:right w:val="single" w:color="CCCCCC" w:sz="4"/>
            </w:tcBorders>
            <w:shd w:fill="D6EDD6"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96B23"/>
                <w:sz w:val="18"/>
                <w:szCs w:val="18"/>
              </w:rPr>
              <w:t xml:space="preserve">Lease rather than purchase in Phase 1. Target transitional farmland (retiring farmers, under-performing corn/soy parcels) rather than premium ag land. UD extension can identify optimal parcels.</w:t>
            </w:r>
          </w:p>
        </w:tc>
      </w:tr>
    </w:tbl>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7.  Conversation Strategy — How to Approach Nathan Silvernail</w:t>
      </w:r>
    </w:p>
    <w:p>
      <w:pPr>
        <w:spacing w:after="160" w:before="80"/>
      </w:pPr>
      <w:r>
        <w:rPr>
          <w:rFonts w:ascii="Arial" w:cs="Arial" w:eastAsia="Arial" w:hAnsi="Arial"/>
        </w:rPr>
        <w:t xml:space="preserve">Nathan Silvernail is a SpaceX engineer who has raised $47.5M, signed D.R. Horton, and is scaling toward 20,000 acres and industrial-grade manufacturing. He operates at the pace of a venture-backed startup with SpaceX culture. The conversation must match that register — direct, specific, and immediately useful.</w:t>
      </w:r>
    </w:p>
    <w:p>
      <w:pPr>
        <w:spacing w:after="100" w:before="0"/>
      </w:pPr>
      <w:r>
        <w:rPr>
          <w:rFonts w:ascii="Arial" w:cs="Arial" w:eastAsia="Arial" w:hAnsi="Arial"/>
        </w:rPr>
        <w:t xml:space="preserve"/>
      </w:r>
    </w:p>
    <w:p>
      <w:pPr>
        <w:pBdr>
          <w:bottom w:val="single" w:color="D6EDD6" w:sz="4" w:space="3"/>
        </w:pBdr>
        <w:spacing w:after="80" w:before="260"/>
      </w:pPr>
      <w:r>
        <w:rPr>
          <w:rFonts w:ascii="Arial" w:cs="Arial" w:eastAsia="Arial" w:hAnsi="Arial"/>
          <w:b/>
          <w:bCs/>
          <w:color w:val="1565C0"/>
          <w:sz w:val="22"/>
          <w:szCs w:val="22"/>
        </w:rPr>
        <w:t xml:space="preserve">Meeting structure (recommended if call secured)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Time</w:t>
            </w:r>
          </w:p>
        </w:tc>
        <w:tc>
          <w:tcPr>
            <w:tcW w:type="dxa" w:w="34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Topic</w:t>
            </w:r>
          </w:p>
        </w:tc>
        <w:tc>
          <w:tcPr>
            <w:tcW w:type="dxa" w:w="4680"/>
            <w:tcBorders>
              <w:top w:val="single" w:color="CCCCCC" w:sz="4"/>
              <w:left w:val="single" w:color="CCCCCC" w:sz="4"/>
              <w:bottom w:val="single" w:color="CCCCCC" w:sz="4"/>
              <w:right w:val="single" w:color="CCCCCC" w:sz="4"/>
            </w:tcBorders>
            <w:shd w:fill="1565C0" w:val="clear"/>
            <w:tcMar>
              <w:top w:type="dxa" w:w="80"/>
              <w:left w:type="dxa" w:w="140"/>
              <w:bottom w:type="dxa" w:w="80"/>
              <w:right w:type="dxa" w:w="120"/>
            </w:tcMar>
          </w:tcPr>
          <w:p>
            <w:pPr>
              <w:spacing w:after="0" w:before="0"/>
            </w:pPr>
            <w:r>
              <w:rPr>
                <w:rFonts w:ascii="Arial" w:cs="Arial" w:eastAsia="Arial" w:hAnsi="Arial"/>
                <w:b/>
                <w:bCs/>
                <w:color w:val="FFFFFF"/>
                <w:sz w:val="18"/>
                <w:szCs w:val="18"/>
              </w:rPr>
              <w:t xml:space="preserve">What M4D says</w:t>
            </w:r>
          </w:p>
        </w:tc>
      </w:tr>
      <w:tr>
        <w:tc>
          <w:tcPr>
            <w:tcW w:type="dxa" w:w="12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center"/>
            </w:pPr>
            <w:r>
              <w:rPr>
                <w:rFonts w:ascii="Arial" w:cs="Arial" w:eastAsia="Arial" w:hAnsi="Arial"/>
                <w:b/>
                <w:bCs/>
                <w:color w:val="1565C0"/>
                <w:sz w:val="18"/>
                <w:szCs w:val="18"/>
              </w:rPr>
              <w:t xml:space="preserve">0–5 min</w:t>
            </w:r>
          </w:p>
        </w:tc>
        <w:tc>
          <w:tcPr>
            <w:tcW w:type="dxa" w:w="34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Context and credibility</w:t>
            </w:r>
          </w:p>
        </w:tc>
        <w:tc>
          <w:tcPr>
            <w:tcW w:type="dxa" w:w="46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Claymont AE24-002 active job, panels June 22. City of Wilmington OED partnership. Mayor’s office letter. Caribbean reconstruction pilot. Not a concept — active building system.</w:t>
            </w:r>
          </w:p>
        </w:tc>
      </w:tr>
      <w:tr>
        <w:tc>
          <w:tcPr>
            <w:tcW w:type="dxa" w:w="12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center"/>
            </w:pPr>
            <w:r>
              <w:rPr>
                <w:rFonts w:ascii="Arial" w:cs="Arial" w:eastAsia="Arial" w:hAnsi="Arial"/>
                <w:b/>
                <w:bCs/>
                <w:color w:val="1565C0"/>
                <w:sz w:val="18"/>
                <w:szCs w:val="18"/>
              </w:rPr>
              <w:t xml:space="preserve">5–10 min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The product conversation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We want your panel as the structural face layer on our next-generation 4Ward Forward Panel. Here’s the assembly concept. Here’s why the carbon story matters for our City, grant, and export conversations.</w:t>
            </w:r>
          </w:p>
        </w:tc>
      </w:tr>
      <w:tr>
        <w:tc>
          <w:tcPr>
            <w:tcW w:type="dxa" w:w="12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center"/>
            </w:pPr>
            <w:r>
              <w:rPr>
                <w:rFonts w:ascii="Arial" w:cs="Arial" w:eastAsia="Arial" w:hAnsi="Arial"/>
                <w:b/>
                <w:bCs/>
                <w:color w:val="1565C0"/>
                <w:sz w:val="18"/>
                <w:szCs w:val="18"/>
              </w:rPr>
              <w:t xml:space="preserve">10–15 min</w:t>
            </w:r>
          </w:p>
        </w:tc>
        <w:tc>
          <w:tcPr>
            <w:tcW w:type="dxa" w:w="34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Seaford and Delaware</w:t>
            </w:r>
          </w:p>
        </w:tc>
        <w:tc>
          <w:tcPr>
            <w:tcW w:type="dxa" w:w="4680"/>
            <w:tcBorders>
              <w:top w:val="single" w:color="CCCCCC" w:sz="4"/>
              <w:left w:val="single" w:color="CCCCCC" w:sz="4"/>
              <w:bottom w:val="single" w:color="CCCCCC" w:sz="4"/>
              <w:right w:val="single" w:color="CCCCCC" w:sz="4"/>
            </w:tcBorders>
            <w:shd w:fill="F7F7F4"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We’re building in Seaford on the former DuPont corridor. We’re 90 miles from Port of Wilmington. Sussex County has the agricultural land your supply chain needs. Here’s the specific opportunity.</w:t>
            </w:r>
          </w:p>
        </w:tc>
      </w:tr>
      <w:tr>
        <w:tc>
          <w:tcPr>
            <w:tcW w:type="dxa" w:w="1200"/>
            <w:tcBorders>
              <w:top w:val="single" w:color="CCCCCC" w:sz="4"/>
              <w:left w:val="single" w:color="CCCCCC" w:sz="4"/>
              <w:bottom w:val="single" w:color="CCCCCC" w:sz="4"/>
              <w:right w:val="single" w:color="CCCCCC" w:sz="4"/>
            </w:tcBorders>
            <w:shd w:fill="E3F2FD" w:val="clear"/>
            <w:tcMar>
              <w:top w:type="dxa" w:w="80"/>
              <w:left w:type="dxa" w:w="140"/>
              <w:bottom w:type="dxa" w:w="80"/>
              <w:right w:type="dxa" w:w="120"/>
            </w:tcMar>
            <w:vAlign w:val="top"/>
          </w:tcPr>
          <w:p>
            <w:pPr>
              <w:spacing w:after="0" w:before="0"/>
              <w:jc w:val="center"/>
            </w:pPr>
            <w:r>
              <w:rPr>
                <w:rFonts w:ascii="Arial" w:cs="Arial" w:eastAsia="Arial" w:hAnsi="Arial"/>
                <w:b/>
                <w:bCs/>
                <w:color w:val="1565C0"/>
                <w:sz w:val="18"/>
                <w:szCs w:val="18"/>
              </w:rPr>
              <w:t xml:space="preserve">15–20 min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bCs/>
                <w:color w:val="1565C0"/>
                <w:sz w:val="18"/>
                <w:szCs w:val="18"/>
              </w:rPr>
              <w:t xml:space="preserve">What we’re asking for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vAlign w:val="top"/>
          </w:tcPr>
          <w:p>
            <w:pPr>
              <w:spacing w:after="0" w:before="0"/>
              <w:jc w:val="left"/>
            </w:pPr>
            <w:r>
              <w:rPr>
                <w:rFonts w:ascii="Arial" w:cs="Arial" w:eastAsia="Arial" w:hAnsi="Arial"/>
                <w:b w:val="false"/>
                <w:bCs w:val="false"/>
                <w:color w:val="1A1A18"/>
                <w:sz w:val="18"/>
                <w:szCs w:val="18"/>
              </w:rPr>
              <w:t xml:space="preserve">Three things: (1) introductory product supply conversation, (2) your thoughts on Delaware as an expansion geography, (3) whether a co-development arrangement on ICC-ES AC04 testing makes sense.</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thick" w:color="BA7517" w:sz="28"/>
              <w:bottom w:val="none" w:color="FFFFFF" w:sz="0"/>
              <w:right w:val="none" w:color="FFFFFF" w:sz="0"/>
            </w:tcBorders>
            <w:shd w:fill="FFF3CD" w:val="clear"/>
          </w:tcPr>
          <w:p>
            <w:pPr>
              <w:spacing w:after="0" w:before="0"/>
            </w:pPr>
            <w:r>
              <w:rPr>
                <w:rFonts w:ascii="Arial" w:cs="Arial" w:eastAsia="Arial" w:hAnsi="Arial"/>
              </w:rPr>
              <w:t xml:space="preserve"/>
            </w:r>
          </w:p>
        </w:tc>
        <w:tc>
          <w:tcPr>
            <w:tcW w:type="dxa" w:w="9080"/>
            <w:tcBorders>
              <w:top w:val="none" w:color="FFFFFF" w:sz="0"/>
              <w:left w:val="none" w:color="FFFFFF" w:sz="0"/>
              <w:bottom w:val="none" w:color="FFFFFF" w:sz="0"/>
              <w:right w:val="none" w:color="FFFFFF" w:sz="0"/>
            </w:tcBorders>
            <w:shd w:fill="FFF3CD" w:val="clear"/>
            <w:tcMar>
              <w:top w:type="dxa" w:w="120"/>
              <w:left w:type="dxa" w:w="180"/>
              <w:bottom w:type="dxa" w:w="120"/>
              <w:right w:type="dxa" w:w="140"/>
            </w:tcMar>
          </w:tcPr>
          <w:p>
            <w:pPr>
              <w:spacing w:after="0" w:before="0"/>
            </w:pPr>
            <w:r>
              <w:rPr>
                <w:rFonts w:ascii="Arial" w:cs="Arial" w:eastAsia="Arial" w:hAnsi="Arial"/>
                <w:b/>
                <w:bCs/>
                <w:color w:val="BA7517"/>
                <w:sz w:val="21"/>
                <w:szCs w:val="21"/>
              </w:rPr>
              <w:t xml:space="preserve">NOTE ON CONTACT ROUTING:  </w:t>
            </w:r>
            <w:r>
              <w:rPr>
                <w:rFonts w:ascii="Arial" w:cs="Arial" w:eastAsia="Arial" w:hAnsi="Arial"/>
                <w:color w:val="1A1A18"/>
                <w:sz w:val="21"/>
                <w:szCs w:val="21"/>
              </w:rPr>
              <w:t xml:space="preserve">Nathan Silvernail is Co-CEO. Nate Brown (Head of Business Development) handles commercial partnerships per the Plantd team page. The intro email goes to Nathan because this is a strategic partnership conversation, not a sales conversation. If the response routes through Nate Brown, that is appropriate — he has grown Plantd’s partnerships across homebuilders and agricultural networks. Accept the handoff gracefully and make the same case.</w:t>
            </w:r>
          </w:p>
        </w:tc>
      </w:tr>
    </w:tbl>
    <w:p>
      <w:pPr>
        <w:spacing w:after="100" w:before="0"/>
      </w:pPr>
      <w:r>
        <w:rPr>
          <w:rFonts w:ascii="Arial" w:cs="Arial" w:eastAsia="Arial" w:hAnsi="Arial"/>
        </w:rPr>
        <w:t xml:space="preserve"/>
      </w:r>
    </w:p>
    <w:p>
      <w:pPr>
        <w:shd w:fill="196B23" w:val="clear"/>
        <w:spacing w:after="160" w:before="440"/>
        <w:ind w:left="-720" w:right="-720"/>
      </w:pPr>
      <w:r>
        <w:rPr>
          <w:rFonts w:ascii="Arial" w:cs="Arial" w:eastAsia="Arial" w:hAnsi="Arial"/>
          <w:b/>
          <w:bCs/>
          <w:color w:val="FFFFFF"/>
          <w:sz w:val="26"/>
          <w:szCs w:val="26"/>
        </w:rPr>
        <w:t xml:space="preserve">8.  Summary</w:t>
      </w:r>
    </w:p>
    <w:p>
      <w:pPr>
        <w:spacing w:after="160" w:before="80"/>
      </w:pPr>
      <w:r>
        <w:rPr>
          <w:rFonts w:ascii="Arial" w:cs="Arial" w:eastAsia="Arial" w:hAnsi="Arial"/>
        </w:rPr>
        <w:t xml:space="preserve">Plantd is the right conversation to have, and the timing is right. They just closed Series B. They have stated publicly that scaling raw material supply chain is a priority. They are selling to D.R. Horton at scale, which means the product is commercially ready. They do not yet have a Delaware manufacturing presence, a Mid-Atlantic distribution node, a Caribbean export channel, or a grass biomass supply chain north of Virginia.</w:t>
      </w:r>
    </w:p>
    <w:p>
      <w:pPr>
        <w:spacing w:after="160" w:before="80"/>
      </w:pPr>
      <w:r>
        <w:rPr>
          <w:rFonts w:ascii="Arial" w:cs="Arial" w:eastAsia="Arial" w:hAnsi="Arial"/>
        </w:rPr>
        <w:t xml:space="preserve">Merge4Ward brings all four of those things. The pitch is not ‘please sell us your panels.’ It is ‘we have identified a manufacturing, agricultural, and distribution expansion opportunity in Delaware that aligns with everything you said you’re trying to do in your Series B announcement — and we want to be the vehicle for it.’</w:t>
      </w:r>
    </w:p>
    <w:p>
      <w:pPr>
        <w:spacing w:after="160" w:before="80"/>
      </w:pPr>
      <w:r>
        <w:rPr>
          <w:rFonts w:ascii="Arial" w:cs="Arial" w:eastAsia="Arial" w:hAnsi="Arial"/>
        </w:rPr>
        <w:t xml:space="preserve">If Plantd says yes to the product conversation and nothing else, M4D gets a carbon-built SIP face layer for the Forward Home program. If they say yes to Delaware, M4D gets a manufacturing partner that is already capitalized, already proven, and already heading in the same direction. The downside of sending Nathan Silvernail an email is zero.</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96B23" w:val="clear"/>
            <w:tcMar>
              <w:top w:type="dxa" w:w="120"/>
              <w:left w:type="dxa" w:w="160"/>
              <w:bottom w:type="dxa" w:w="120"/>
              <w:right w:type="dxa" w:w="140"/>
            </w:tcMar>
          </w:tcPr>
          <w:p>
            <w:pPr>
              <w:spacing w:after="40" w:before="0"/>
            </w:pPr>
            <w:r>
              <w:rPr>
                <w:rFonts w:ascii="Arial" w:cs="Arial" w:eastAsia="Arial" w:hAnsi="Arial"/>
                <w:b/>
                <w:bCs/>
                <w:color w:val="FFFFFF"/>
                <w:sz w:val="20"/>
                <w:szCs w:val="20"/>
              </w:rPr>
              <w:t xml:space="preserve">Merge 4 Design  ×  Merge4Ward  ×  M4Di</w:t>
            </w:r>
          </w:p>
          <w:p>
            <w:pPr>
              <w:spacing w:after="20" w:before="0"/>
            </w:pPr>
            <w:r>
              <w:rPr>
                <w:rFonts w:ascii="Arial" w:cs="Arial" w:eastAsia="Arial" w:hAnsi="Arial"/>
                <w:color w:val="D6EDD6"/>
                <w:sz w:val="18"/>
                <w:szCs w:val="18"/>
              </w:rPr>
              <w:t xml:space="preserve">215 N. Market St., Suite 317  ·  Wilmington, DE 19801</w:t>
            </w:r>
          </w:p>
          <w:p>
            <w:pPr>
              <w:spacing w:after="0" w:before="0"/>
            </w:pPr>
            <w:r>
              <w:rPr>
                <w:rFonts w:ascii="Arial" w:cs="Arial" w:eastAsia="Arial" w:hAnsi="Arial"/>
                <w:color w:val="D6EDD6"/>
                <w:sz w:val="18"/>
                <w:szCs w:val="18"/>
              </w:rPr>
              <w:t xml:space="preserve">merge4design.com  ·  david4d@merge4design.com</w:t>
            </w:r>
          </w:p>
        </w:tc>
        <w:tc>
          <w:tcPr>
            <w:tcW w:type="dxa" w:w="4680"/>
            <w:tcBorders>
              <w:top w:val="single" w:color="CCCCCC" w:sz="4"/>
              <w:left w:val="single" w:color="CCCCCC" w:sz="4"/>
              <w:bottom w:val="single" w:color="CCCCCC" w:sz="4"/>
              <w:right w:val="single" w:color="CCCCCC" w:sz="4"/>
            </w:tcBorders>
            <w:shd w:fill="F7F7F4" w:val="clear"/>
            <w:tcMar>
              <w:top w:type="dxa" w:w="120"/>
              <w:left w:type="dxa" w:w="160"/>
              <w:bottom w:type="dxa" w:w="120"/>
              <w:right w:type="dxa" w:w="140"/>
            </w:tcMar>
          </w:tcPr>
          <w:p>
            <w:pPr>
              <w:spacing w:after="60" w:before="0"/>
            </w:pPr>
            <w:r>
              <w:rPr>
                <w:rFonts w:ascii="Arial" w:cs="Arial" w:eastAsia="Arial" w:hAnsi="Arial"/>
                <w:b/>
                <w:bCs/>
                <w:color w:val="196B23"/>
                <w:sz w:val="19"/>
                <w:szCs w:val="19"/>
              </w:rPr>
              <w:t xml:space="preserve">Next steps:</w:t>
            </w:r>
          </w:p>
          <w:p>
            <w:pPr>
              <w:spacing w:after="40" w:before="0"/>
            </w:pPr>
            <w:r>
              <w:rPr>
                <w:rFonts w:ascii="Arial" w:cs="Arial" w:eastAsia="Arial" w:hAnsi="Arial"/>
                <w:sz w:val="18"/>
                <w:szCs w:val="18"/>
              </w:rPr>
              <w:t xml:space="preserve">1.  Send email to Nathan Silvernail — immediately</w:t>
            </w:r>
          </w:p>
          <w:p>
            <w:pPr>
              <w:spacing w:after="40" w:before="0"/>
            </w:pPr>
            <w:r>
              <w:rPr>
                <w:rFonts w:ascii="Arial" w:cs="Arial" w:eastAsia="Arial" w:hAnsi="Arial"/>
                <w:sz w:val="18"/>
                <w:szCs w:val="18"/>
              </w:rPr>
              <w:t xml:space="preserve">2.  Follow up if no response within 10 business days via Nate Brown (Head of BD)</w:t>
            </w:r>
          </w:p>
          <w:p>
            <w:pPr>
              <w:spacing w:after="40" w:before="0"/>
            </w:pPr>
            <w:r>
              <w:rPr>
                <w:rFonts w:ascii="Arial" w:cs="Arial" w:eastAsia="Arial" w:hAnsi="Arial"/>
                <w:sz w:val="18"/>
                <w:szCs w:val="18"/>
              </w:rPr>
              <w:t xml:space="preserve">3.  If call secured: prepare one-page 4Ward Forward Panel concept visual (Travis)</w:t>
            </w:r>
          </w:p>
          <w:p>
            <w:pPr>
              <w:spacing w:after="0" w:before="0"/>
            </w:pPr>
            <w:r>
              <w:rPr>
                <w:rFonts w:ascii="Arial" w:cs="Arial" w:eastAsia="Arial" w:hAnsi="Arial"/>
                <w:sz w:val="18"/>
                <w:szCs w:val="18"/>
              </w:rPr>
              <w:t xml:space="preserve">4.  AC04 test cost estimate to include in partner conversation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6E1" w:sz="4" w:space="4"/>
      </w:pBdr>
    </w:pPr>
    <w:r>
      <w:rPr>
        <w:rFonts w:ascii="Arial" w:cs="Arial" w:eastAsia="Arial" w:hAnsi="Arial"/>
        <w:i/>
        <w:iCs/>
        <w:color w:val="555552"/>
        <w:sz w:val="15"/>
        <w:szCs w:val="15"/>
      </w:rPr>
      <w:t xml:space="preserve">CONFIDENTIAL  ·  Internal use only  ·  Not for distribution  ·  merge4design.com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6B23" w:sz="6" w:space="4"/>
      </w:pBdr>
    </w:pPr>
    <w:r>
      <w:rPr>
        <w:rFonts w:ascii="Arial" w:cs="Arial" w:eastAsia="Arial" w:hAnsi="Arial"/>
        <w:b/>
        <w:bCs/>
        <w:color w:val="196B23"/>
        <w:sz w:val="16"/>
        <w:szCs w:val="16"/>
      </w:rPr>
      <w:t xml:space="preserve">MERGE 4 DESIGN  ×  MERGE4WARD  ×  M4Di</w:t>
    </w:r>
    <w:r>
      <w:rPr>
        <w:rFonts w:ascii="Arial" w:cs="Arial" w:eastAsia="Arial" w:hAnsi="Arial"/>
        <w:color w:val="555552"/>
        <w:sz w:val="16"/>
        <w:szCs w:val="16"/>
      </w:rPr>
      <w:t xml:space="preserve">   —   Plantd Materials: Internal Analysis Memo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2026-06-16T14:07:10.469Z</dcterms:created>
  <dcterms:modified xsi:type="dcterms:W3CDTF">2026-06-16T14:07:10.482Z</dcterms:modified>
</cp:coreProperties>
</file>

<file path=docProps/custom.xml><?xml version="1.0" encoding="utf-8"?>
<Properties xmlns="http://schemas.openxmlformats.org/officeDocument/2006/custom-properties" xmlns:vt="http://schemas.openxmlformats.org/officeDocument/2006/docPropsVTypes"/>
</file>