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w:t>
            </w:r>
          </w:p>
        </w:tc>
        <w:tc>
          <w:tcPr>
            <w:tcW w:type="dxa" w:w="79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tcPr>
          <w:p>
            <w:pPr>
              <w:spacing w:after="0" w:before="0"/>
            </w:pPr>
            <w:r>
              <w:rPr>
                <w:rFonts w:ascii="Arial" w:cs="Arial" w:eastAsia="Arial" w:hAnsi="Arial"/>
                <w:color w:val="1A1A18"/>
                <w:sz w:val="20"/>
                <w:szCs w:val="20"/>
              </w:rPr>
              <w:t xml:space="preserve">Trevor Knight · Leo Lynch · Travis Davis</w:t>
            </w:r>
          </w:p>
        </w:tc>
      </w:tr>
      <w:tr>
        <w:tc>
          <w:tcPr>
            <w:tcW w:type="dxa" w:w="144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FROM:</w:t>
            </w:r>
          </w:p>
        </w:tc>
        <w:tc>
          <w:tcPr>
            <w:tcW w:type="dxa" w:w="79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tcPr>
          <w:p>
            <w:pPr>
              <w:spacing w:after="0" w:before="0"/>
            </w:pPr>
            <w:r>
              <w:rPr>
                <w:rFonts w:ascii="Arial" w:cs="Arial" w:eastAsia="Arial" w:hAnsi="Arial"/>
                <w:color w:val="1A1A18"/>
                <w:sz w:val="20"/>
                <w:szCs w:val="20"/>
              </w:rPr>
              <w:t xml:space="preserve">Merge 4 Design LLC — Predevelopment</w:t>
            </w:r>
          </w:p>
        </w:tc>
      </w:tr>
      <w:tr>
        <w:tc>
          <w:tcPr>
            <w:tcW w:type="dxa" w:w="144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79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tcPr>
          <w:p>
            <w:pPr>
              <w:spacing w:after="0" w:before="0"/>
            </w:pPr>
            <w:r>
              <w:rPr>
                <w:rFonts w:ascii="Arial" w:cs="Arial" w:eastAsia="Arial" w:hAnsi="Arial"/>
                <w:color w:val="1A1A18"/>
                <w:sz w:val="20"/>
                <w:szCs w:val="20"/>
              </w:rPr>
              <w:t xml:space="preserve">May 2026</w:t>
            </w:r>
          </w:p>
        </w:tc>
      </w:tr>
      <w:tr>
        <w:tc>
          <w:tcPr>
            <w:tcW w:type="dxa" w:w="144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w:t>
            </w:r>
          </w:p>
        </w:tc>
        <w:tc>
          <w:tcPr>
            <w:tcW w:type="dxa" w:w="79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tcPr>
          <w:p>
            <w:pPr>
              <w:spacing w:after="0" w:before="0"/>
            </w:pPr>
            <w:r>
              <w:rPr>
                <w:rFonts w:ascii="Arial" w:cs="Arial" w:eastAsia="Arial" w:hAnsi="Arial"/>
                <w:b/>
                <w:bCs/>
                <w:color w:val="1A1A18"/>
                <w:sz w:val="20"/>
                <w:szCs w:val="20"/>
              </w:rPr>
              <w:t xml:space="preserve">CBai MEP Workflow SOP v1 — Impact on Forward Home Proforma and ROM</w:t>
            </w:r>
          </w:p>
        </w:tc>
      </w:tr>
      <w:tr>
        <w:tc>
          <w:tcPr>
            <w:tcW w:type="dxa" w:w="144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w:t>
            </w:r>
          </w:p>
        </w:tc>
        <w:tc>
          <w:tcPr>
            <w:tcW w:type="dxa" w:w="79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tcPr>
          <w:p>
            <w:pPr>
              <w:spacing w:after="0" w:before="0"/>
            </w:pPr>
            <w:r>
              <w:rPr>
                <w:rFonts w:ascii="Arial" w:cs="Arial" w:eastAsia="Arial" w:hAnsi="Arial"/>
                <w:i/>
                <w:iCs/>
                <w:color w:val="555552"/>
                <w:sz w:val="20"/>
                <w:szCs w:val="20"/>
              </w:rPr>
              <w:t xml:space="preserve">M4Di_CBai_MEP_Workflow_SOP_v1.docx  ·  M4D_ForwardHome_Proforma_May2026.xlsx (updated)</w:t>
            </w:r>
          </w:p>
        </w:tc>
      </w:tr>
    </w:tbl>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Summary</w:t>
      </w:r>
    </w:p>
    <w:p>
      <w:pPr>
        <w:spacing w:after="160" w:before="80"/>
      </w:pPr>
      <w:r>
        <w:rPr>
          <w:rFonts w:ascii="Arial" w:cs="Arial" w:eastAsia="Arial" w:hAnsi="Arial"/>
        </w:rPr>
        <w:t xml:space="preserve">The CBai MEP Workflow SOP v1 (June 2026) has been reviewed against the Forward Home proforma and development ROM. The workflow changes how we model and defend soft costs in two ways: it disaggregates the previous $14,500 lump-sum line into four auditable sub-components, and it introduces a typology toggle that models the fee compression available on repeat Forward Home engagements once the Claymont AE24-002 G4 template is archived.</w:t>
      </w:r>
    </w:p>
    <w:p>
      <w:pPr>
        <w:spacing w:after="160" w:before="80"/>
      </w:pPr>
      <w:r>
        <w:rPr>
          <w:rFonts w:ascii="Arial" w:cs="Arial" w:eastAsia="Arial" w:hAnsi="Arial"/>
          <w:b/>
          <w:bCs/>
        </w:rPr>
        <w:t xml:space="preserve">Net effect on the numbers: </w:t>
      </w:r>
      <w:r>
        <w:rPr>
          <w:rFonts w:ascii="Arial" w:cs="Arial" w:eastAsia="Arial" w:hAnsi="Arial"/>
        </w:rPr>
        <w:t xml:space="preserve">Tier 1–3 soft costs drop from $14,500/unit to $11,700/unit on first typology use and $10,300/unit on repeat use. Tier 4 adds $3,200/unit for the additional PE scope required by cistern plumbing, agrivoltaic trellis structural coordination, and island-mode electrical configuration.</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00"/>
      </w:tblGrid>
      <w:tr>
        <w:tc>
          <w:tcPr>
            <w:tcW w:type="dxa" w:w="280"/>
            <w:tcBorders>
              <w:top w:val="none" w:color="FFFFFF" w:sz="0"/>
              <w:left w:val="thick" w:color="196B23" w:sz="24"/>
              <w:bottom w:val="none" w:color="FFFFFF" w:sz="0"/>
              <w:right w:val="none" w:color="FFFFFF" w:sz="0"/>
            </w:tcBorders>
            <w:shd w:fill="D6EDD6" w:val="clear"/>
          </w:tcPr>
          <w:p>
            <w:pPr>
              <w:spacing w:after="0" w:before="0"/>
            </w:pPr>
            <w:r>
              <w:rPr>
                <w:rFonts w:ascii="Arial" w:cs="Arial" w:eastAsia="Arial" w:hAnsi="Arial"/>
              </w:rPr>
              <w:t xml:space="preserve"/>
            </w:r>
          </w:p>
        </w:tc>
        <w:tc>
          <w:tcPr>
            <w:tcW w:type="dxa" w:w="9000"/>
            <w:tcBorders>
              <w:top w:val="none" w:color="FFFFFF" w:sz="0"/>
              <w:left w:val="none" w:color="FFFFFF" w:sz="0"/>
              <w:bottom w:val="none" w:color="FFFFFF" w:sz="0"/>
              <w:right w:val="none" w:color="FFFFFF" w:sz="0"/>
            </w:tcBorders>
            <w:shd w:fill="D6EDD6" w:val="clear"/>
            <w:tcMar>
              <w:top w:type="dxa" w:w="100"/>
              <w:left w:type="dxa" w:w="160"/>
              <w:bottom w:type="dxa" w:w="100"/>
              <w:right w:type="dxa" w:w="120"/>
            </w:tcMar>
          </w:tcPr>
          <w:p>
            <w:pPr>
              <w:spacing w:after="0" w:before="0"/>
            </w:pPr>
            <w:r>
              <w:rPr>
                <w:rFonts w:ascii="Arial" w:cs="Arial" w:eastAsia="Arial" w:hAnsi="Arial"/>
                <w:b/>
                <w:bCs/>
                <w:color w:val="196B23"/>
                <w:sz w:val="20"/>
                <w:szCs w:val="20"/>
              </w:rPr>
              <w:t xml:space="preserve">PROFORMA UPDATE: </w:t>
            </w:r>
            <w:r>
              <w:rPr>
                <w:rFonts w:ascii="Arial" w:cs="Arial" w:eastAsia="Arial" w:hAnsi="Arial"/>
                <w:color w:val="1A1A18"/>
                <w:sz w:val="20"/>
                <w:szCs w:val="20"/>
              </w:rPr>
              <w:t xml:space="preserve">M4D_ForwardHome_Proforma_May2026.xlsx has been updated. The Assumptions tab now shows four disaggregated soft cost lines plus the typology toggle (Assumptions!C10). Set C10 = 1 for first typology, C10 = 2 for Claymont template repeat. Type A and Type D proforma tabs reference the active total automatically. No other cells need to change.</w:t>
            </w:r>
          </w:p>
        </w:tc>
      </w:tr>
    </w:tbl>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The CBai MEP workflow — what it actually does</w:t>
      </w:r>
    </w:p>
    <w:p>
      <w:pPr>
        <w:spacing w:after="160" w:before="80"/>
      </w:pPr>
      <w:r>
        <w:rPr>
          <w:rFonts w:ascii="Arial" w:cs="Arial" w:eastAsia="Arial" w:hAnsi="Arial"/>
        </w:rPr>
        <w:t xml:space="preserve">The SOP defines a five-stage MEP design process mapped to the M4Di ALDi gate system. The core principle: CBai produces the design intelligence at G0–G2 so the PE receives a fully coordinated package at G3 — the PE reviews and stamps, rather than starting from scratch. The fewer hours the PE spends starting from zero, the lower the fee and the faster the permit submission.</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c>
          <w:tcPr>
            <w:tcW w:type="dxa" w:w="22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Stage</w:t>
            </w:r>
          </w:p>
        </w:tc>
        <w:tc>
          <w:tcPr>
            <w:tcW w:type="dxa" w:w="18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Who</w:t>
            </w:r>
          </w:p>
        </w:tc>
        <w:tc>
          <w:tcPr>
            <w:tcW w:type="dxa" w:w="256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gets produced</w:t>
            </w:r>
          </w:p>
        </w:tc>
        <w:tc>
          <w:tcPr>
            <w:tcW w:type="dxa" w:w="2800"/>
            <w:tcBorders>
              <w:top w:val="single" w:color="CCCCCC" w:sz="4"/>
              <w:left w:val="single" w:color="CCCCCC" w:sz="4"/>
              <w:bottom w:val="single" w:color="CCCCCC" w:sz="4"/>
              <w:right w:val="single" w:color="CCCCCC" w:sz="4"/>
            </w:tcBorders>
            <w:shd w:fill="555552"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 involvement</w:t>
            </w:r>
          </w:p>
        </w:tc>
      </w:tr>
      <w:tr>
        <w:tc>
          <w:tcPr>
            <w:tcW w:type="dxa" w:w="2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bCs/>
                <w:color w:val="1A1A18"/>
                <w:sz w:val="18"/>
                <w:szCs w:val="18"/>
              </w:rPr>
              <w:t xml:space="preserve">G0 — Basis of Design</w:t>
            </w:r>
          </w:p>
        </w:tc>
        <w:tc>
          <w:tcPr>
            <w:tcW w:type="dxa" w:w="1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CBai + Predevelopment Lead</w:t>
            </w:r>
          </w:p>
        </w:tc>
        <w:tc>
          <w:tcPr>
            <w:tcW w:type="dxa" w:w="25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Load calc inputs, system selection memo, equipment schedule draft, BOD memo (1–2 pp)</w:t>
            </w:r>
          </w:p>
        </w:tc>
        <w:tc>
          <w:tcPr>
            <w:tcW w:type="dxa" w:w="2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None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A1A18"/>
                <w:sz w:val="18"/>
                <w:szCs w:val="18"/>
              </w:rPr>
              <w:t xml:space="preserve">G1 — Schematic Design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CBai + Travis (Revit)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Schematic duct/pipe/panel layouts, chase sizing, clash detection in Revit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Brief review optional</w:t>
            </w:r>
          </w:p>
        </w:tc>
      </w:tr>
      <w:tr>
        <w:tc>
          <w:tcPr>
            <w:tcW w:type="dxa" w:w="2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bCs/>
                <w:color w:val="1A1A18"/>
                <w:sz w:val="18"/>
                <w:szCs w:val="18"/>
              </w:rPr>
              <w:t xml:space="preserve">G2 — Design Development</w:t>
            </w:r>
          </w:p>
        </w:tc>
        <w:tc>
          <w:tcPr>
            <w:tcW w:type="dxa" w:w="1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CBai + Travis + QC review</w:t>
            </w:r>
          </w:p>
        </w:tc>
        <w:tc>
          <w:tcPr>
            <w:tcW w:type="dxa" w:w="25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Fully coordinated Revit model, spec sections, COMcheck inputs, AHJ MEP checklist</w:t>
            </w:r>
          </w:p>
        </w:tc>
        <w:tc>
          <w:tcPr>
            <w:tcW w:type="dxa" w:w="2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Markup + redlines</w:t>
            </w:r>
          </w:p>
        </w:tc>
      </w:tr>
      <w:tr>
        <w:tc>
          <w:tcPr>
            <w:tcW w:type="dxa" w:w="22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G3 — Construction Documents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MEP PE (Engineer of Record)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Stamped permit drawings, calculations of record, CA support</w:t>
            </w:r>
          </w:p>
        </w:tc>
        <w:tc>
          <w:tcPr>
            <w:tcW w:type="dxa" w:w="28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Full stamp + CA</w:t>
            </w:r>
          </w:p>
        </w:tc>
      </w:tr>
      <w:tr>
        <w:tc>
          <w:tcPr>
            <w:tcW w:type="dxa" w:w="2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bCs/>
                <w:color w:val="1A1A18"/>
                <w:sz w:val="18"/>
                <w:szCs w:val="18"/>
              </w:rPr>
              <w:t xml:space="preserve">G4 — Closeout</w:t>
            </w:r>
          </w:p>
        </w:tc>
        <w:tc>
          <w:tcPr>
            <w:tcW w:type="dxa" w:w="1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CBai + Predevelopment Lead</w:t>
            </w:r>
          </w:p>
        </w:tc>
        <w:tc>
          <w:tcPr>
            <w:tcW w:type="dxa" w:w="25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ALDDB row: PE hours, fee delta vs. ROM, template archive for repeat use</w:t>
            </w:r>
          </w:p>
        </w:tc>
        <w:tc>
          <w:tcPr>
            <w:tcW w:type="dxa" w:w="2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Sign-off only</w:t>
            </w:r>
          </w:p>
        </w:tc>
      </w:tr>
    </w:tbl>
    <w:p>
      <w:pPr>
        <w:spacing w:after="100" w:before="0"/>
      </w:pPr>
      <w:r>
        <w:rPr>
          <w:rFonts w:ascii="Arial" w:cs="Arial" w:eastAsia="Arial" w:hAnsi="Arial"/>
        </w:rPr>
        <w:t xml:space="preserve"/>
      </w:r>
    </w:p>
    <w:p>
      <w:pPr>
        <w:spacing w:after="80" w:before="80"/>
      </w:pPr>
      <w:r>
        <w:rPr>
          <w:rFonts w:ascii="Arial" w:cs="Arial" w:eastAsia="Arial" w:hAnsi="Arial"/>
        </w:rPr>
        <w:t xml:space="preserve">For projects under 12 units or 15,000 SF — which covers every Forward Home configuration — Stages G0–G2 are completed entirely in-house. The PE engagement is concentrated at G3 review, stamp, and CA. This is what enables the fee target.</w:t>
      </w:r>
    </w:p>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What changes in the proforma</w:t>
      </w:r>
    </w:p>
    <w:p>
      <w:pPr>
        <w:spacing w:after="160" w:before="80"/>
      </w:pPr>
      <w:r>
        <w:rPr>
          <w:rFonts w:ascii="Arial" w:cs="Arial" w:eastAsia="Arial" w:hAnsi="Arial"/>
        </w:rPr>
        <w:t xml:space="preserve">The previous soft costs line aggregated everything into $14,500/unit with no sub-components visible. This made it impossible to defend the number to OED, a lender, or a grant reviewer asking where the cost came from. The updated structure shows four independently defensible lines:</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960"/>
        <w:gridCol w:w="1800"/>
      </w:tblGrid>
      <w:tr>
        <w:tc>
          <w:tcPr>
            <w:tcW w:type="dxa" w:w="36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Cost line</w:t>
            </w:r>
          </w:p>
        </w:tc>
        <w:tc>
          <w:tcPr>
            <w:tcW w:type="dxa" w:w="2000"/>
            <w:tcBorders>
              <w:top w:val="single" w:color="CCCCCC" w:sz="4"/>
              <w:left w:val="single" w:color="CCCCCC" w:sz="4"/>
              <w:bottom w:val="single" w:color="CCCCCC" w:sz="4"/>
              <w:right w:val="single" w:color="CCCCCC" w:sz="4"/>
            </w:tcBorders>
            <w:shd w:fill="555552"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Previous (lump sum)</w:t>
            </w:r>
          </w:p>
        </w:tc>
        <w:tc>
          <w:tcPr>
            <w:tcW w:type="dxa" w:w="196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Updated (SOP v1)
First typology</w:t>
            </w:r>
          </w:p>
        </w:tc>
        <w:tc>
          <w:tcPr>
            <w:tcW w:type="dxa" w:w="180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Updated (SOP v1)
Repeat / Claymont</w:t>
            </w:r>
          </w:p>
        </w:tc>
      </w:tr>
      <w:tr>
        <w:tc>
          <w:tcPr>
            <w:tcW w:type="dxa" w:w="36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A&amp;E architectural fee (per unit)</w:t>
            </w:r>
          </w:p>
        </w:tc>
        <w:tc>
          <w:tcPr>
            <w:tcW w:type="dxa" w:w="20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  (rolled in)</w:t>
            </w:r>
          </w:p>
        </w:tc>
        <w:tc>
          <w:tcPr>
            <w:tcW w:type="dxa" w:w="19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$5,500</w:t>
            </w:r>
          </w:p>
        </w:tc>
        <w:tc>
          <w:tcPr>
            <w:tcW w:type="dxa" w:w="1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$5,500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MEP PE fee — CBai-assisted (per unit)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  (rolled in)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$3,200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$1,800</w:t>
            </w:r>
          </w:p>
        </w:tc>
      </w:tr>
      <w:tr>
        <w:tc>
          <w:tcPr>
            <w:tcW w:type="dxa" w:w="36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Permits / filing / AHJ fees (per unit)</w:t>
            </w:r>
          </w:p>
        </w:tc>
        <w:tc>
          <w:tcPr>
            <w:tcW w:type="dxa" w:w="20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  (rolled in)</w:t>
            </w:r>
          </w:p>
        </w:tc>
        <w:tc>
          <w:tcPr>
            <w:tcW w:type="dxa" w:w="19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$1,800</w:t>
            </w:r>
          </w:p>
        </w:tc>
        <w:tc>
          <w:tcPr>
            <w:tcW w:type="dxa" w:w="1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$1,800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M4Di OI Tool / ALDi Tracker (per unit)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  (rolled in)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$1,200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$1,200</w:t>
            </w:r>
          </w:p>
        </w:tc>
      </w:tr>
      <w:tr>
        <w:tc>
          <w:tcPr>
            <w:tcW w:type="dxa" w:w="36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TOTAL SOFT COSTS / UNIT</w:t>
            </w:r>
          </w:p>
        </w:tc>
        <w:tc>
          <w:tcPr>
            <w:tcW w:type="dxa" w:w="20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$14,500 (fixed)</w:t>
            </w:r>
          </w:p>
        </w:tc>
        <w:tc>
          <w:tcPr>
            <w:tcW w:type="dxa" w:w="196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$11,700</w:t>
            </w:r>
          </w:p>
        </w:tc>
        <w:tc>
          <w:tcPr>
            <w:tcW w:type="dxa" w:w="18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right"/>
            </w:pPr>
            <w:r>
              <w:rPr>
                <w:rFonts w:ascii="Arial" w:cs="Arial" w:eastAsia="Arial" w:hAnsi="Arial"/>
                <w:b/>
                <w:bCs/>
                <w:color w:val="0F6E56"/>
                <w:sz w:val="18"/>
                <w:szCs w:val="18"/>
              </w:rPr>
              <w:t xml:space="preserve">$10,300</w:t>
            </w:r>
          </w:p>
        </w:tc>
      </w:tr>
      <w:tr>
        <w:tc>
          <w:tcPr>
            <w:tcW w:type="dxa" w:w="36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Savings vs. previous lump sum</w:t>
            </w:r>
          </w:p>
        </w:tc>
        <w:tc>
          <w:tcPr>
            <w:tcW w:type="dxa" w:w="20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w:t>
            </w:r>
          </w:p>
        </w:tc>
        <w:tc>
          <w:tcPr>
            <w:tcW w:type="dxa" w:w="196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–$2,800/unit</w:t>
            </w:r>
          </w:p>
        </w:tc>
        <w:tc>
          <w:tcPr>
            <w:tcW w:type="dxa" w:w="1800"/>
            <w:tcBorders>
              <w:top w:val="single" w:color="CCCCCC" w:sz="4"/>
              <w:left w:val="single" w:color="CCCCCC" w:sz="4"/>
              <w:bottom w:val="single" w:color="CCCCCC" w:sz="4"/>
              <w:right w:val="single" w:color="CCCCCC" w:sz="4"/>
            </w:tcBorders>
            <w:shd w:fill="D6EDD6" w:val="clear"/>
            <w:tcMar>
              <w:top w:type="dxa" w:w="80"/>
              <w:left w:type="dxa" w:w="120"/>
              <w:bottom w:type="dxa" w:w="80"/>
              <w:right w:type="dxa" w:w="120"/>
            </w:tcMar>
            <w:vAlign w:val="top"/>
          </w:tcPr>
          <w:p>
            <w:pPr>
              <w:spacing w:after="0" w:before="0"/>
              <w:jc w:val="right"/>
            </w:pPr>
            <w:r>
              <w:rPr>
                <w:rFonts w:ascii="Arial" w:cs="Arial" w:eastAsia="Arial" w:hAnsi="Arial"/>
                <w:b/>
                <w:bCs/>
                <w:color w:val="0F6E56"/>
                <w:sz w:val="18"/>
                <w:szCs w:val="18"/>
              </w:rPr>
              <w:t xml:space="preserve">–$4,200/unit</w:t>
            </w:r>
          </w:p>
        </w:tc>
      </w:tr>
      <w:tr>
        <w:tc>
          <w:tcPr>
            <w:tcW w:type="dxa" w:w="36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Tier 4 MEP increment (agrivoltaic/island)</w:t>
            </w:r>
          </w:p>
        </w:tc>
        <w:tc>
          <w:tcPr>
            <w:tcW w:type="dxa" w:w="20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Not modelled</w:t>
            </w:r>
          </w:p>
        </w:tc>
        <w:tc>
          <w:tcPr>
            <w:tcW w:type="dxa" w:w="19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 $3,200</w:t>
            </w:r>
          </w:p>
        </w:tc>
        <w:tc>
          <w:tcPr>
            <w:tcW w:type="dxa" w:w="18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1A1A18"/>
                <w:sz w:val="18"/>
                <w:szCs w:val="18"/>
              </w:rPr>
              <w:t xml:space="preserve">+ $3,200</w:t>
            </w:r>
          </w:p>
        </w:tc>
      </w:tr>
    </w:tbl>
    <w:p>
      <w:pPr>
        <w:spacing w:after="100" w:before="0"/>
      </w:pPr>
      <w:r>
        <w:rPr>
          <w:rFonts w:ascii="Arial" w:cs="Arial" w:eastAsia="Arial" w:hAnsi="Arial"/>
        </w:rPr>
        <w:t xml:space="preserve"/>
      </w:r>
    </w:p>
    <w:p>
      <w:pPr>
        <w:spacing w:after="80" w:before="80"/>
      </w:pPr>
      <w:r>
        <w:rPr>
          <w:rFonts w:ascii="Arial" w:cs="Arial" w:eastAsia="Arial" w:hAnsi="Arial"/>
        </w:rPr>
        <w:t xml:space="preserve">The typology toggle is the critical new feature. It is not a rounding adjustment — it represents a structurally different PE engagement model. When we use the Claymont template on the second Forward Home project, the PE receives a pre-coordinated G2 package for a system type they have already stamped. Their scope shrinks to review and redlines. The SOP targets 40–50% of full-service fee on repeat typologies. The $1,800/unit repeat figure reflects the low end of that range conservatively.</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00"/>
      </w:tblGrid>
      <w:tr>
        <w:tc>
          <w:tcPr>
            <w:tcW w:type="dxa" w:w="280"/>
            <w:tcBorders>
              <w:top w:val="none" w:color="FFFFFF" w:sz="0"/>
              <w:left w:val="thick" w:color="BA7517" w:sz="24"/>
              <w:bottom w:val="none" w:color="FFFFFF" w:sz="0"/>
              <w:right w:val="none" w:color="FFFFFF" w:sz="0"/>
            </w:tcBorders>
            <w:shd w:fill="FFF3CD" w:val="clear"/>
          </w:tcPr>
          <w:p>
            <w:pPr>
              <w:spacing w:after="0" w:before="0"/>
            </w:pPr>
            <w:r>
              <w:rPr>
                <w:rFonts w:ascii="Arial" w:cs="Arial" w:eastAsia="Arial" w:hAnsi="Arial"/>
              </w:rPr>
              <w:t xml:space="preserve"/>
            </w:r>
          </w:p>
        </w:tc>
        <w:tc>
          <w:tcPr>
            <w:tcW w:type="dxa" w:w="9000"/>
            <w:tcBorders>
              <w:top w:val="none" w:color="FFFFFF" w:sz="0"/>
              <w:left w:val="none" w:color="FFFFFF" w:sz="0"/>
              <w:bottom w:val="none" w:color="FFFFFF" w:sz="0"/>
              <w:right w:val="none" w:color="FFFFFF" w:sz="0"/>
            </w:tcBorders>
            <w:shd w:fill="FFF3CD" w:val="clear"/>
            <w:tcMar>
              <w:top w:type="dxa" w:w="100"/>
              <w:left w:type="dxa" w:w="160"/>
              <w:bottom w:type="dxa" w:w="100"/>
              <w:right w:type="dxa" w:w="120"/>
            </w:tcMar>
          </w:tcPr>
          <w:p>
            <w:pPr>
              <w:spacing w:after="0" w:before="0"/>
            </w:pPr>
            <w:r>
              <w:rPr>
                <w:rFonts w:ascii="Arial" w:cs="Arial" w:eastAsia="Arial" w:hAnsi="Arial"/>
                <w:b/>
                <w:bCs/>
                <w:color w:val="BA7517"/>
                <w:sz w:val="20"/>
                <w:szCs w:val="20"/>
              </w:rPr>
              <w:t xml:space="preserve">IMPORTANT TIMING: </w:t>
            </w:r>
            <w:r>
              <w:rPr>
                <w:rFonts w:ascii="Arial" w:cs="Arial" w:eastAsia="Arial" w:hAnsi="Arial"/>
                <w:color w:val="1A1A18"/>
                <w:sz w:val="20"/>
                <w:szCs w:val="20"/>
              </w:rPr>
              <w:t xml:space="preserve">The repeat typology savings are not available today. They become available at Claymont AE24-002 G4 closeout — target Q4 2026. Until then, all Forward Home proformas should show C10 = 1 (first typology). Leo should add a G4 archive milestone to the AE24-002 project tracker now so this doesn't get skipped at closeout.</w:t>
            </w:r>
          </w:p>
        </w:tc>
      </w:tr>
    </w:tbl>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Fee benchmarks — all project types</w:t>
      </w:r>
    </w:p>
    <w:p>
      <w:pPr>
        <w:spacing w:after="160" w:before="80"/>
      </w:pPr>
      <w:r>
        <w:rPr>
          <w:rFonts w:ascii="Arial" w:cs="Arial" w:eastAsia="Arial" w:hAnsi="Arial"/>
        </w:rPr>
        <w:t xml:space="preserve">The SOP provides CBai-assisted fee targets across all M4D project types, not just Forward Home. These are the benchmarks to load into the OI Tool unit price library for MEP soft costs:</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20"/>
        <w:gridCol w:w="1720"/>
        <w:gridCol w:w="1720"/>
        <w:gridCol w:w="2000"/>
      </w:tblGrid>
      <w:tr>
        <w:tc>
          <w:tcPr>
            <w:tcW w:type="dxa" w:w="32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Project</w:t>
            </w:r>
          </w:p>
        </w:tc>
        <w:tc>
          <w:tcPr>
            <w:tcW w:type="dxa" w:w="1720"/>
            <w:tcBorders>
              <w:top w:val="single" w:color="CCCCCC" w:sz="4"/>
              <w:left w:val="single" w:color="CCCCCC" w:sz="4"/>
              <w:bottom w:val="single" w:color="CCCCCC" w:sz="4"/>
              <w:right w:val="single" w:color="CCCCCC" w:sz="4"/>
            </w:tcBorders>
            <w:shd w:fill="555552"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Full MEP fee</w:t>
            </w:r>
          </w:p>
        </w:tc>
        <w:tc>
          <w:tcPr>
            <w:tcW w:type="dxa" w:w="172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CBai-assisted</w:t>
            </w:r>
          </w:p>
        </w:tc>
        <w:tc>
          <w:tcPr>
            <w:tcW w:type="dxa" w:w="172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Savings</w:t>
            </w:r>
          </w:p>
        </w:tc>
        <w:tc>
          <w:tcPr>
            <w:tcW w:type="dxa" w:w="20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When available</w:t>
            </w:r>
          </w:p>
        </w:tc>
      </w:tr>
      <w:tr>
        <w:tc>
          <w:tcPr>
            <w:tcW w:type="dxa" w:w="3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4-unit townhouse (Claymont typology)</w:t>
            </w:r>
          </w:p>
        </w:tc>
        <w:tc>
          <w:tcPr>
            <w:tcW w:type="dxa" w:w="17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$12K–$18K</w:t>
            </w:r>
          </w:p>
        </w:tc>
        <w:tc>
          <w:tcPr>
            <w:tcW w:type="dxa" w:w="17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$7K–$11K</w:t>
            </w:r>
          </w:p>
        </w:tc>
        <w:tc>
          <w:tcPr>
            <w:tcW w:type="dxa" w:w="17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30–40%</w:t>
            </w:r>
          </w:p>
        </w:tc>
        <w:tc>
          <w:tcPr>
            <w:tcW w:type="dxa" w:w="20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Now — SOP v1 active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10-unit Forward Home cluster</w:t>
            </w:r>
          </w:p>
        </w:tc>
        <w:tc>
          <w:tcPr>
            <w:tcW w:type="dxa" w:w="1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$18K–$28K</w:t>
            </w:r>
          </w:p>
        </w:tc>
        <w:tc>
          <w:tcPr>
            <w:tcW w:type="dxa" w:w="1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$11.5K–$17.5K</w:t>
            </w:r>
          </w:p>
        </w:tc>
        <w:tc>
          <w:tcPr>
            <w:tcW w:type="dxa" w:w="1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30–37%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Now</w:t>
            </w:r>
          </w:p>
        </w:tc>
      </w:tr>
      <w:tr>
        <w:tc>
          <w:tcPr>
            <w:tcW w:type="dxa" w:w="3200"/>
            <w:tcBorders>
              <w:top w:val="single" w:color="CCCCCC" w:sz="4"/>
              <w:left w:val="single" w:color="CCCCCC" w:sz="4"/>
              <w:bottom w:val="single" w:color="CCCCCC" w:sz="4"/>
              <w:right w:val="single" w:color="CCCCCC" w:sz="4"/>
            </w:tcBorders>
            <w:shd w:fill="D4EDE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8"/>
                <w:szCs w:val="18"/>
              </w:rPr>
              <w:t xml:space="preserve">Repeat Forward Home (Claymont template)</w:t>
            </w:r>
          </w:p>
        </w:tc>
        <w:tc>
          <w:tcPr>
            <w:tcW w:type="dxa" w:w="172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$18K–$28K</w:t>
            </w:r>
          </w:p>
        </w:tc>
        <w:tc>
          <w:tcPr>
            <w:tcW w:type="dxa" w:w="1720"/>
            <w:tcBorders>
              <w:top w:val="single" w:color="CCCCCC" w:sz="4"/>
              <w:left w:val="single" w:color="CCCCCC" w:sz="4"/>
              <w:bottom w:val="single" w:color="CCCCCC" w:sz="4"/>
              <w:right w:val="single" w:color="CCCCCC" w:sz="4"/>
            </w:tcBorders>
            <w:shd w:fill="D4EDE8" w:val="clear"/>
            <w:tcMar>
              <w:top w:type="dxa" w:w="80"/>
              <w:left w:type="dxa" w:w="120"/>
              <w:bottom w:type="dxa" w:w="80"/>
              <w:right w:type="dxa" w:w="120"/>
            </w:tcMar>
            <w:vAlign w:val="top"/>
          </w:tcPr>
          <w:p>
            <w:pPr>
              <w:spacing w:after="0" w:before="0"/>
              <w:jc w:val="right"/>
            </w:pPr>
            <w:r>
              <w:rPr>
                <w:rFonts w:ascii="Arial" w:cs="Arial" w:eastAsia="Arial" w:hAnsi="Arial"/>
                <w:b/>
                <w:bCs/>
                <w:color w:val="0F6E56"/>
                <w:sz w:val="18"/>
                <w:szCs w:val="18"/>
              </w:rPr>
              <w:t xml:space="preserve">$7K–$12K</w:t>
            </w:r>
          </w:p>
        </w:tc>
        <w:tc>
          <w:tcPr>
            <w:tcW w:type="dxa" w:w="1720"/>
            <w:tcBorders>
              <w:top w:val="single" w:color="CCCCCC" w:sz="4"/>
              <w:left w:val="single" w:color="CCCCCC" w:sz="4"/>
              <w:bottom w:val="single" w:color="CCCCCC" w:sz="4"/>
              <w:right w:val="single" w:color="CCCCCC" w:sz="4"/>
            </w:tcBorders>
            <w:shd w:fill="D4EDE8" w:val="clear"/>
            <w:tcMar>
              <w:top w:type="dxa" w:w="80"/>
              <w:left w:type="dxa" w:w="120"/>
              <w:bottom w:type="dxa" w:w="80"/>
              <w:right w:type="dxa" w:w="120"/>
            </w:tcMar>
            <w:vAlign w:val="top"/>
          </w:tcPr>
          <w:p>
            <w:pPr>
              <w:spacing w:after="0" w:before="0"/>
              <w:jc w:val="right"/>
            </w:pPr>
            <w:r>
              <w:rPr>
                <w:rFonts w:ascii="Arial" w:cs="Arial" w:eastAsia="Arial" w:hAnsi="Arial"/>
                <w:b/>
                <w:bCs/>
                <w:color w:val="0F6E56"/>
                <w:sz w:val="18"/>
                <w:szCs w:val="18"/>
              </w:rPr>
              <w:t xml:space="preserve">40–55%</w:t>
            </w:r>
          </w:p>
        </w:tc>
        <w:tc>
          <w:tcPr>
            <w:tcW w:type="dxa" w:w="20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Q4 2026 (G4 archive)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Small commercial fit-out (&lt;5,000 SF)</w:t>
            </w:r>
          </w:p>
        </w:tc>
        <w:tc>
          <w:tcPr>
            <w:tcW w:type="dxa" w:w="1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val="false"/>
                <w:bCs w:val="false"/>
                <w:color w:val="555552"/>
                <w:sz w:val="18"/>
                <w:szCs w:val="18"/>
              </w:rPr>
              <w:t xml:space="preserve">$6K–$10K</w:t>
            </w:r>
          </w:p>
        </w:tc>
        <w:tc>
          <w:tcPr>
            <w:tcW w:type="dxa" w:w="1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$4K–$6.5K</w:t>
            </w:r>
          </w:p>
        </w:tc>
        <w:tc>
          <w:tcPr>
            <w:tcW w:type="dxa" w:w="1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right"/>
            </w:pPr>
            <w:r>
              <w:rPr>
                <w:rFonts w:ascii="Arial" w:cs="Arial" w:eastAsia="Arial" w:hAnsi="Arial"/>
                <w:b/>
                <w:bCs/>
                <w:color w:val="196B23"/>
                <w:sz w:val="18"/>
                <w:szCs w:val="18"/>
              </w:rPr>
              <w:t xml:space="preserve">25–35%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Now</w:t>
            </w:r>
          </w:p>
        </w:tc>
      </w:tr>
    </w:tbl>
    <w:p>
      <w:pPr>
        <w:spacing w:after="100" w:before="0"/>
      </w:pPr>
      <w:r>
        <w:rPr>
          <w:rFonts w:ascii="Arial" w:cs="Arial" w:eastAsia="Arial" w:hAnsi="Arial"/>
        </w:rPr>
        <w:t xml:space="preserve"/>
      </w:r>
    </w:p>
    <w:p>
      <w:pPr>
        <w:spacing w:after="80" w:before="80"/>
      </w:pPr>
      <w:r>
        <w:rPr>
          <w:rFonts w:ascii="Arial" w:cs="Arial" w:eastAsia="Arial" w:hAnsi="Arial"/>
        </w:rPr>
        <w:t xml:space="preserve">The starred row — Repeat Forward Home (Claymont template) — is the one to watch. A 40–55% reduction in MEP PE fees on every subsequent Forward Home project after Claymont closes is a compounding advantage. On a 10-project Forward Home pipeline, the cumulative PE fee savings versus full-service engagement is approximately $60,000–$100,000. That is a real number that belongs in the Wells Fargo / Enterprise grant narrative as a demonstrated cost reduction methodology.</w:t>
      </w:r>
    </w:p>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Tier 4 — new MEP scope items</w:t>
      </w:r>
    </w:p>
    <w:p>
      <w:pPr>
        <w:spacing w:after="160" w:before="80"/>
      </w:pPr>
      <w:r>
        <w:rPr>
          <w:rFonts w:ascii="Arial" w:cs="Arial" w:eastAsia="Arial" w:hAnsi="Arial"/>
        </w:rPr>
        <w:t xml:space="preserve">The SOP predates the Tier 4 Forward Harvest specification. Three PE scope items in Tier 4 fall outside the standard Forward Home MEP template and require additional G2 coordination and G3 stamped drawings:</w:t>
      </w:r>
    </w:p>
    <w:p>
      <w:pPr>
        <w:pStyle w:val="ListParagraph"/>
        <w:numPr>
          <w:ilvl w:val="0"/>
          <w:numId w:val="2"/>
        </w:numPr>
        <w:spacing w:after="60" w:before="40"/>
      </w:pPr>
      <w:r>
        <w:rPr>
          <w:rFonts w:ascii="Arial" w:cs="Arial" w:eastAsia="Arial" w:hAnsi="Arial"/>
          <w:b/>
          <w:bCs/>
        </w:rPr>
        <w:t xml:space="preserve">Cistern plumbing engineering: </w:t>
      </w:r>
      <w:r>
        <w:rPr>
          <w:rFonts w:ascii="Arial" w:cs="Arial" w:eastAsia="Arial" w:hAnsi="Arial"/>
        </w:rPr>
        <w:t xml:space="preserve">Rainwater collection, first-flush diverter, sediment filter, gravity-fed drip distribution, overflow path to municipal. Standard plumbing PE scope but not in the Claymont template.</w:t>
      </w:r>
    </w:p>
    <w:p>
      <w:pPr>
        <w:pStyle w:val="ListParagraph"/>
        <w:numPr>
          <w:ilvl w:val="0"/>
          <w:numId w:val="2"/>
        </w:numPr>
        <w:spacing w:after="60" w:before="40"/>
      </w:pPr>
      <w:r>
        <w:rPr>
          <w:rFonts w:ascii="Arial" w:cs="Arial" w:eastAsia="Arial" w:hAnsi="Arial"/>
          <w:b/>
          <w:bCs/>
        </w:rPr>
        <w:t xml:space="preserve">Agrivoltaic trellis structural coordination: </w:t>
      </w:r>
      <w:r>
        <w:rPr>
          <w:rFonts w:ascii="Arial" w:cs="Arial" w:eastAsia="Arial" w:hAnsi="Arial"/>
        </w:rPr>
        <w:t xml:space="preserve">Galvanized trellis elevated 5–6 ft above roof membrane. Needs structural engineer confirmation of point loads to roof framing/CLT deck — separate from MEP but coordinated through the same G2 package.</w:t>
      </w:r>
    </w:p>
    <w:p>
      <w:pPr>
        <w:pStyle w:val="ListParagraph"/>
        <w:numPr>
          <w:ilvl w:val="0"/>
          <w:numId w:val="2"/>
        </w:numPr>
        <w:spacing w:after="60" w:before="40"/>
      </w:pPr>
      <w:r>
        <w:rPr>
          <w:rFonts w:ascii="Arial" w:cs="Arial" w:eastAsia="Arial" w:hAnsi="Arial"/>
          <w:b/>
          <w:bCs/>
        </w:rPr>
        <w:t xml:space="preserve">Island-mode electrical configuration: </w:t>
      </w:r>
      <w:r>
        <w:rPr>
          <w:rFonts w:ascii="Arial" w:cs="Arial" w:eastAsia="Arial" w:hAnsi="Arial"/>
        </w:rPr>
        <w:t xml:space="preserve">SPAN MAIN 40 island-mode load schedule, off-grid interconnect design, EcoFlow/FranklinWH battery system integration. Requires electrical PE review beyond the standard panel schedule.</w:t>
      </w:r>
    </w:p>
    <w:p>
      <w:pPr>
        <w:spacing w:after="160" w:before="80"/>
      </w:pPr>
      <w:r>
        <w:rPr>
          <w:rFonts w:ascii="Arial" w:cs="Arial" w:eastAsia="Arial" w:hAnsi="Arial"/>
        </w:rPr>
        <w:t xml:space="preserve">These three items are estimated at $3,200/unit as a Tier 4 soft cost increment — separate from the base soft costs total. This is a G0 ROM estimate. It needs a real unit price in the OI Tool once the first Tier 4 project enters predevelopment.</w:t>
      </w:r>
    </w:p>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Implications for OED cost verification</w:t>
      </w:r>
    </w:p>
    <w:p>
      <w:pPr>
        <w:spacing w:after="160" w:before="80"/>
      </w:pPr>
      <w:r>
        <w:rPr>
          <w:rFonts w:ascii="Arial" w:cs="Arial" w:eastAsia="Arial" w:hAnsi="Arial"/>
        </w:rPr>
        <w:t xml:space="preserve">The disaggregated soft costs structure directly strengthens the OED cost-verification relationship. OED adopted M4Di as its independent verification standard for the A&amp;E Feasibility Grant program. The previous $14,500 lump sum was a number; the updated structure is a methodology. Each sub-component has a source:</w:t>
      </w:r>
    </w:p>
    <w:p>
      <w:pPr>
        <w:pStyle w:val="ListParagraph"/>
        <w:numPr>
          <w:ilvl w:val="0"/>
          <w:numId w:val="2"/>
        </w:numPr>
        <w:spacing w:after="60" w:before="40"/>
      </w:pPr>
      <w:r>
        <w:rPr>
          <w:rFonts w:ascii="Arial" w:cs="Arial" w:eastAsia="Arial" w:hAnsi="Arial"/>
          <w:b/>
          <w:bCs/>
        </w:rPr>
        <w:t xml:space="preserve">A&amp;E fee: </w:t>
      </w:r>
      <w:r>
        <w:rPr>
          <w:rFonts w:ascii="Arial" w:cs="Arial" w:eastAsia="Arial" w:hAnsi="Arial"/>
        </w:rPr>
        <w:t xml:space="preserve">AIA fee benchmark for residential permit documents, Delaware market, matched to project complexity.</w:t>
      </w:r>
    </w:p>
    <w:p>
      <w:pPr>
        <w:pStyle w:val="ListParagraph"/>
        <w:numPr>
          <w:ilvl w:val="0"/>
          <w:numId w:val="2"/>
        </w:numPr>
        <w:spacing w:after="60" w:before="40"/>
      </w:pPr>
      <w:r>
        <w:rPr>
          <w:rFonts w:ascii="Arial" w:cs="Arial" w:eastAsia="Arial" w:hAnsi="Arial"/>
          <w:b/>
          <w:bCs/>
        </w:rPr>
        <w:t xml:space="preserve">MEP PE fee: </w:t>
      </w:r>
      <w:r>
        <w:rPr>
          <w:rFonts w:ascii="Arial" w:cs="Arial" w:eastAsia="Arial" w:hAnsi="Arial"/>
        </w:rPr>
        <w:t xml:space="preserve">M4Di CBai MEP SOP v1 Table 2 benchmark, CBai-assisted target range, cross-referenced to project type.</w:t>
      </w:r>
    </w:p>
    <w:p>
      <w:pPr>
        <w:pStyle w:val="ListParagraph"/>
        <w:numPr>
          <w:ilvl w:val="0"/>
          <w:numId w:val="2"/>
        </w:numPr>
        <w:spacing w:after="60" w:before="40"/>
      </w:pPr>
      <w:r>
        <w:rPr>
          <w:rFonts w:ascii="Arial" w:cs="Arial" w:eastAsia="Arial" w:hAnsi="Arial"/>
          <w:b/>
          <w:bCs/>
        </w:rPr>
        <w:t xml:space="preserve">Permits: </w:t>
      </w:r>
      <w:r>
        <w:rPr>
          <w:rFonts w:ascii="Arial" w:cs="Arial" w:eastAsia="Arial" w:hAnsi="Arial"/>
        </w:rPr>
        <w:t xml:space="preserve">City of Wilmington published residential permit fee schedule.</w:t>
      </w:r>
    </w:p>
    <w:p>
      <w:pPr>
        <w:pStyle w:val="ListParagraph"/>
        <w:numPr>
          <w:ilvl w:val="0"/>
          <w:numId w:val="2"/>
        </w:numPr>
        <w:spacing w:after="60" w:before="40"/>
      </w:pPr>
      <w:r>
        <w:rPr>
          <w:rFonts w:ascii="Arial" w:cs="Arial" w:eastAsia="Arial" w:hAnsi="Arial"/>
          <w:b/>
          <w:bCs/>
        </w:rPr>
        <w:t xml:space="preserve">M4Di OI Tool: </w:t>
      </w:r>
      <w:r>
        <w:rPr>
          <w:rFonts w:ascii="Arial" w:cs="Arial" w:eastAsia="Arial" w:hAnsi="Arial"/>
        </w:rPr>
        <w:t xml:space="preserve">M4Di published service fee for G0 ROM and ALDi gate tracking.</w:t>
      </w:r>
    </w:p>
    <w:p>
      <w:pPr>
        <w:spacing w:after="160" w:before="80"/>
      </w:pPr>
      <w:r>
        <w:rPr>
          <w:rFonts w:ascii="Arial" w:cs="Arial" w:eastAsia="Arial" w:hAnsi="Arial"/>
        </w:rPr>
        <w:t xml:space="preserve">When OED reviews a Forward Home ROM that shows these four sub-lines with sourced benchmarks, they are reviewing a methodology, not a guess. That is the difference between a letter of support and an ongoing institutional relationship.</w:t>
      </w:r>
    </w:p>
    <w:p>
      <w:pPr>
        <w:spacing w:after="100" w:before="0"/>
      </w:pPr>
      <w:r>
        <w:rPr>
          <w:rFonts w:ascii="Arial" w:cs="Arial" w:eastAsia="Arial" w:hAnsi="Arial"/>
        </w:rPr>
        <w:t xml:space="preserve"/>
      </w:r>
    </w:p>
    <w:p>
      <w:pPr>
        <w:shd w:fill="196B23" w:val="clear"/>
        <w:spacing w:after="160" w:before="360"/>
        <w:ind w:left="-720" w:right="-720"/>
      </w:pPr>
      <w:r>
        <w:rPr>
          <w:rFonts w:ascii="Arial" w:cs="Arial" w:eastAsia="Arial" w:hAnsi="Arial"/>
          <w:b/>
          <w:bCs/>
          <w:color w:val="FFFFFF"/>
          <w:sz w:val="24"/>
          <w:szCs w:val="24"/>
        </w:rPr>
        <w:t xml:space="preserve">Action items</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Who</w:t>
            </w:r>
          </w:p>
        </w:tc>
        <w:tc>
          <w:tcPr>
            <w:tcW w:type="dxa" w:w="416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24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Context</w:t>
            </w:r>
          </w:p>
        </w:tc>
        <w:tc>
          <w:tcPr>
            <w:tcW w:type="dxa" w:w="1600"/>
            <w:tcBorders>
              <w:top w:val="single" w:color="CCCCCC" w:sz="4"/>
              <w:left w:val="single" w:color="CCCCCC" w:sz="4"/>
              <w:bottom w:val="single" w:color="CCCCCC" w:sz="4"/>
              <w:right w:val="single" w:color="CCCCCC" w:sz="4"/>
            </w:tcBorders>
            <w:shd w:fill="196B23"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When</w:t>
            </w:r>
          </w:p>
        </w:tc>
      </w:tr>
      <w:tr>
        <w:tc>
          <w:tcPr>
            <w:tcW w:type="dxa" w:w="1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Travis</w:t>
            </w:r>
          </w:p>
        </w:tc>
        <w:tc>
          <w:tcPr>
            <w:tcW w:type="dxa" w:w="41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Run G1 schematic MEP in Revit for AE24-002 using SOP workflow — this becomes the Claymont template</w:t>
            </w:r>
          </w:p>
        </w:tc>
        <w:tc>
          <w:tcPr>
            <w:tcW w:type="dxa" w:w="24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AE24-002 is the baseline project. G1 Revit model is the seed of all future Forward Home MEP packages.</w:t>
            </w:r>
          </w:p>
        </w:tc>
        <w:tc>
          <w:tcPr>
            <w:tcW w:type="dxa" w:w="16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color w:val="BA7517"/>
                <w:sz w:val="18"/>
                <w:szCs w:val="18"/>
              </w:rPr>
              <w:t xml:space="preserve">Now — concurrent with permit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Predevelopment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Toggle Assumptions!C10 = 2 on second Forward Home project to model repeat-typology fee compression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First live use of the typology toggle. Confirms savings are real before presenting to OED or lender.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color w:val="BA7517"/>
                <w:sz w:val="18"/>
                <w:szCs w:val="18"/>
              </w:rPr>
              <w:t xml:space="preserve">Second project (Lobdel or lot cluster)</w:t>
            </w:r>
          </w:p>
        </w:tc>
      </w:tr>
      <w:tr>
        <w:tc>
          <w:tcPr>
            <w:tcW w:type="dxa" w:w="1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Leo</w:t>
            </w:r>
          </w:p>
        </w:tc>
        <w:tc>
          <w:tcPr>
            <w:tcW w:type="dxa" w:w="41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Track actual PE hours and fee against G0 ROM on AE24-002 through G4</w:t>
            </w:r>
          </w:p>
        </w:tc>
        <w:tc>
          <w:tcPr>
            <w:tcW w:type="dxa" w:w="24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G4 ALDDB entry is the data point that makes the repeat-typology savings defensible in grant applications.</w:t>
            </w:r>
          </w:p>
        </w:tc>
        <w:tc>
          <w:tcPr>
            <w:tcW w:type="dxa" w:w="16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color w:val="BA7517"/>
                <w:sz w:val="18"/>
                <w:szCs w:val="18"/>
              </w:rPr>
              <w:t xml:space="preserve">G4 closeout — target Q4 2026</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Predevelopment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Review SOP v1 name attribution before any external sharing — update to team role structure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SOP v1 has individual name throughout. External version should match M4D team attribution standard.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color w:val="BA7517"/>
                <w:sz w:val="18"/>
                <w:szCs w:val="18"/>
              </w:rPr>
              <w:t xml:space="preserve">Before any OED or funder distribution</w:t>
            </w:r>
          </w:p>
        </w:tc>
      </w:tr>
      <w:tr>
        <w:tc>
          <w:tcPr>
            <w:tcW w:type="dxa" w:w="12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bCs/>
                <w:color w:val="196B23"/>
                <w:sz w:val="18"/>
                <w:szCs w:val="18"/>
              </w:rPr>
              <w:t xml:space="preserve">All</w:t>
            </w:r>
          </w:p>
        </w:tc>
        <w:tc>
          <w:tcPr>
            <w:tcW w:type="dxa" w:w="416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Add Tier 4 MEP sub-scope items (cistern, agrivoltaic trellis, island electrical) to OI Tool unit price library as new CSI line items</w:t>
            </w:r>
          </w:p>
        </w:tc>
        <w:tc>
          <w:tcPr>
            <w:tcW w:type="dxa" w:w="24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Currently estimated at $3,200/unit flat. Needs real unit prices once Tier 4 spec is confirmed.</w:t>
            </w:r>
          </w:p>
        </w:tc>
        <w:tc>
          <w:tcPr>
            <w:tcW w:type="dxa" w:w="1600"/>
            <w:tcBorders>
              <w:top w:val="single" w:color="CCCCCC" w:sz="4"/>
              <w:left w:val="single" w:color="CCCCCC" w:sz="4"/>
              <w:bottom w:val="single" w:color="CCCCCC" w:sz="4"/>
              <w:right w:val="single" w:color="CCCCCC" w:sz="4"/>
            </w:tcBorders>
            <w:shd w:fill="F7F7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color w:val="BA7517"/>
                <w:sz w:val="18"/>
                <w:szCs w:val="18"/>
              </w:rPr>
              <w:t xml:space="preserve">Q3 2026 alongside Forward Home spec finalization</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00"/>
      </w:tblGrid>
      <w:tr>
        <w:tc>
          <w:tcPr>
            <w:tcW w:type="dxa" w:w="280"/>
            <w:tcBorders>
              <w:top w:val="none" w:color="FFFFFF" w:sz="0"/>
              <w:left w:val="thick" w:color="196B23" w:sz="24"/>
              <w:bottom w:val="none" w:color="FFFFFF" w:sz="0"/>
              <w:right w:val="none" w:color="FFFFFF" w:sz="0"/>
            </w:tcBorders>
            <w:shd w:fill="D6EDD6" w:val="clear"/>
          </w:tcPr>
          <w:p>
            <w:pPr>
              <w:spacing w:after="0" w:before="0"/>
            </w:pPr>
            <w:r>
              <w:rPr>
                <w:rFonts w:ascii="Arial" w:cs="Arial" w:eastAsia="Arial" w:hAnsi="Arial"/>
              </w:rPr>
              <w:t xml:space="preserve"/>
            </w:r>
          </w:p>
        </w:tc>
        <w:tc>
          <w:tcPr>
            <w:tcW w:type="dxa" w:w="9000"/>
            <w:tcBorders>
              <w:top w:val="none" w:color="FFFFFF" w:sz="0"/>
              <w:left w:val="none" w:color="FFFFFF" w:sz="0"/>
              <w:bottom w:val="none" w:color="FFFFFF" w:sz="0"/>
              <w:right w:val="none" w:color="FFFFFF" w:sz="0"/>
            </w:tcBorders>
            <w:shd w:fill="D6EDD6" w:val="clear"/>
            <w:tcMar>
              <w:top w:type="dxa" w:w="100"/>
              <w:left w:type="dxa" w:w="160"/>
              <w:bottom w:type="dxa" w:w="100"/>
              <w:right w:type="dxa" w:w="120"/>
            </w:tcMar>
          </w:tcPr>
          <w:p>
            <w:pPr>
              <w:spacing w:after="0" w:before="0"/>
            </w:pPr>
            <w:r>
              <w:rPr>
                <w:rFonts w:ascii="Arial" w:cs="Arial" w:eastAsia="Arial" w:hAnsi="Arial"/>
                <w:b/>
                <w:bCs/>
                <w:color w:val="196B23"/>
                <w:sz w:val="20"/>
                <w:szCs w:val="20"/>
              </w:rPr>
              <w:t xml:space="preserve">BOTTOM LINE: </w:t>
            </w:r>
            <w:r>
              <w:rPr>
                <w:rFonts w:ascii="Arial" w:cs="Arial" w:eastAsia="Arial" w:hAnsi="Arial"/>
                <w:color w:val="1A1A18"/>
                <w:sz w:val="20"/>
                <w:szCs w:val="20"/>
              </w:rPr>
              <w:t xml:space="preserve">The SOP makes the proforma more defensible today (disaggregated soft costs) and significantly more competitive on repeat projects (typology toggle). The Claymont G4 archive is the unlock. Leo — add it to the tracker now. Travis — run the G1 Revit MEP concurrently with permit so the template is ready when we need it.</w:t>
            </w:r>
          </w:p>
        </w:tc>
      </w:tr>
    </w:tbl>
    <w:p>
      <w:pPr>
        <w:spacing w:after="100" w:before="0"/>
      </w:pPr>
      <w:r>
        <w:rPr>
          <w:rFonts w:ascii="Arial" w:cs="Arial" w:eastAsia="Arial" w:hAnsi="Arial"/>
        </w:rPr>
        <w:t xml:space="preserve"/>
      </w:r>
    </w:p>
    <w:p>
      <w:pPr>
        <w:spacing w:after="0" w:before="200"/>
      </w:pPr>
      <w:r>
        <w:rPr>
          <w:rFonts w:ascii="Arial" w:cs="Arial" w:eastAsia="Arial" w:hAnsi="Arial"/>
          <w:i/>
          <w:iCs/>
          <w:color w:val="555552"/>
          <w:sz w:val="18"/>
          <w:szCs w:val="18"/>
        </w:rPr>
        <w:t xml:space="preserve">Merge 4 Design LLC  ·  Internal memo  ·  Not for external distribution without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1" w:sz="4" w:space="4"/>
      </w:pBdr>
    </w:pPr>
    <w:r>
      <w:rPr>
        <w:rFonts w:ascii="Arial" w:cs="Arial" w:eastAsia="Arial" w:hAnsi="Arial"/>
        <w:i/>
        <w:iCs/>
        <w:color w:val="555552"/>
        <w:sz w:val="15"/>
        <w:szCs w:val="15"/>
      </w:rPr>
      <w:t xml:space="preserve">Internal — not for external distribution without review  |  merge4design.com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6B23" w:sz="6" w:space="4"/>
      </w:pBdr>
    </w:pPr>
    <w:r>
      <w:rPr>
        <w:rFonts w:ascii="Arial" w:cs="Arial" w:eastAsia="Arial" w:hAnsi="Arial"/>
        <w:b/>
        <w:bCs/>
        <w:color w:val="196B23"/>
        <w:sz w:val="16"/>
        <w:szCs w:val="16"/>
      </w:rPr>
      <w:t xml:space="preserve">MERGE 4 DESIGN LLC  ·  INTERNAL MEMO</w:t>
    </w:r>
    <w:r>
      <w:rPr>
        <w:rFonts w:ascii="Arial" w:cs="Arial" w:eastAsia="Arial" w:hAnsi="Arial"/>
        <w:color w:val="555552"/>
        <w:sz w:val="16"/>
        <w:szCs w:val="16"/>
      </w:rPr>
      <w:t xml:space="preserve">   —   CBai MEP SOP v1 Impact on Proforma and ROM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pPr>
      <w:spacing w:after="160" w:before="80"/>
    </w:pPr>
    <w:rPr>
      <w:rFonts w:ascii="Arial" w:cs="Arial" w:eastAsia="Arial" w:hAnsi="Arial"/>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2026-05-31T17:23:22.312Z</dcterms:created>
  <dcterms:modified xsi:type="dcterms:W3CDTF">2026-05-31T17:23:22.321Z</dcterms:modified>
</cp:coreProperties>
</file>

<file path=docProps/custom.xml><?xml version="1.0" encoding="utf-8"?>
<Properties xmlns="http://schemas.openxmlformats.org/officeDocument/2006/custom-properties" xmlns:vt="http://schemas.openxmlformats.org/officeDocument/2006/docPropsVTypes"/>
</file>