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DA" w:rsidRDefault="002D081B" w:rsidP="002D081B">
      <w:pPr>
        <w:pStyle w:val="Heading1"/>
      </w:pPr>
      <w:r>
        <w:t>Featured Listings</w:t>
      </w:r>
    </w:p>
    <w:p w:rsidR="002D081B" w:rsidRDefault="002D081B" w:rsidP="002D081B">
      <w:r>
        <w:t>We are designing a system to let users ‘feature’ their listings on Rentler.com and KSL’s Homes Classifieds section. The following is a basic report on findings after roundtable discussions with the Rentler and KSL’s development teams.</w:t>
      </w:r>
    </w:p>
    <w:p w:rsidR="00F931D9" w:rsidRDefault="00F931D9" w:rsidP="00F931D9">
      <w:pPr>
        <w:pStyle w:val="Heading2"/>
      </w:pPr>
      <w:r>
        <w:t>Quick Overview</w:t>
      </w:r>
      <w:r w:rsidR="00B343D7">
        <w:t xml:space="preserve"> of the Model</w:t>
      </w:r>
    </w:p>
    <w:p w:rsidR="002D081B" w:rsidRDefault="002D081B" w:rsidP="002D081B">
      <w:pPr>
        <w:pStyle w:val="ListParagraph"/>
        <w:numPr>
          <w:ilvl w:val="0"/>
          <w:numId w:val="1"/>
        </w:numPr>
      </w:pPr>
      <w:r>
        <w:t>Listings split by price, in $50 increments. These are called Featured Sections.</w:t>
      </w:r>
    </w:p>
    <w:p w:rsidR="002D081B" w:rsidRDefault="002D081B" w:rsidP="002D081B">
      <w:pPr>
        <w:pStyle w:val="ListParagraph"/>
        <w:numPr>
          <w:ilvl w:val="0"/>
          <w:numId w:val="1"/>
        </w:numPr>
      </w:pPr>
      <w:r>
        <w:t>Items $200 or less, and $2000 or mor</w:t>
      </w:r>
      <w:r w:rsidR="002C06E4">
        <w:t>e are resolved into one F</w:t>
      </w:r>
      <w:r>
        <w:t xml:space="preserve">eatured </w:t>
      </w:r>
      <w:r w:rsidR="002C06E4">
        <w:t>S</w:t>
      </w:r>
      <w:r>
        <w:t>ection, respectively.</w:t>
      </w:r>
    </w:p>
    <w:p w:rsidR="002D081B" w:rsidRDefault="002C06E4" w:rsidP="002D081B">
      <w:pPr>
        <w:pStyle w:val="ListParagraph"/>
        <w:numPr>
          <w:ilvl w:val="0"/>
          <w:numId w:val="1"/>
        </w:numPr>
      </w:pPr>
      <w:r>
        <w:t>This creates 37 F</w:t>
      </w:r>
      <w:r w:rsidR="002D081B">
        <w:t xml:space="preserve">eatured </w:t>
      </w:r>
      <w:r>
        <w:t>S</w:t>
      </w:r>
      <w:r w:rsidR="002D081B">
        <w:t xml:space="preserve">ections. </w:t>
      </w:r>
    </w:p>
    <w:p w:rsidR="002C06E4" w:rsidRDefault="002C06E4" w:rsidP="002D081B">
      <w:pPr>
        <w:pStyle w:val="ListParagraph"/>
        <w:numPr>
          <w:ilvl w:val="0"/>
          <w:numId w:val="1"/>
        </w:numPr>
      </w:pPr>
      <w:r>
        <w:t>Each section has three Slots.</w:t>
      </w:r>
    </w:p>
    <w:p w:rsidR="002C06E4" w:rsidRDefault="002C06E4" w:rsidP="002D081B">
      <w:pPr>
        <w:pStyle w:val="ListParagraph"/>
        <w:numPr>
          <w:ilvl w:val="0"/>
          <w:numId w:val="1"/>
        </w:numPr>
      </w:pPr>
      <w:r>
        <w:t>Each Slot can hold up to three listings, in a rotating fashion.</w:t>
      </w:r>
    </w:p>
    <w:p w:rsidR="002C06E4" w:rsidRDefault="002C06E4" w:rsidP="002D081B">
      <w:pPr>
        <w:pStyle w:val="ListParagraph"/>
        <w:numPr>
          <w:ilvl w:val="0"/>
          <w:numId w:val="1"/>
        </w:numPr>
      </w:pPr>
      <w:r>
        <w:t>Yields a maximum of 333 Featured Listings</w:t>
      </w:r>
      <w:r w:rsidR="00F931D9">
        <w:t xml:space="preserve"> at a time</w:t>
      </w:r>
      <w:r>
        <w:t>.</w:t>
      </w:r>
    </w:p>
    <w:p w:rsidR="002C06E4" w:rsidRDefault="002C06E4" w:rsidP="002D081B">
      <w:pPr>
        <w:pStyle w:val="ListParagraph"/>
        <w:numPr>
          <w:ilvl w:val="0"/>
          <w:numId w:val="1"/>
        </w:numPr>
      </w:pPr>
      <w:r>
        <w:t>$10 per day to feature a listing.</w:t>
      </w:r>
    </w:p>
    <w:p w:rsidR="002C06E4" w:rsidRDefault="002C06E4" w:rsidP="002D081B">
      <w:pPr>
        <w:pStyle w:val="ListParagraph"/>
        <w:numPr>
          <w:ilvl w:val="0"/>
          <w:numId w:val="1"/>
        </w:numPr>
      </w:pPr>
      <w:r>
        <w:t>Maximum potential revenue: $3,330 per day, $99,900 per month.</w:t>
      </w:r>
    </w:p>
    <w:p w:rsidR="00F931D9" w:rsidRDefault="00F931D9" w:rsidP="00F931D9">
      <w:pPr>
        <w:pStyle w:val="ListParagraph"/>
        <w:numPr>
          <w:ilvl w:val="0"/>
          <w:numId w:val="1"/>
        </w:numPr>
      </w:pPr>
      <w:r>
        <w:t xml:space="preserve">Based on simple threshold projection, assuming popular Featured Sections will be sold out and the rest empty </w:t>
      </w:r>
      <w:r w:rsidR="00B343D7">
        <w:t>(</w:t>
      </w:r>
      <w:r w:rsidR="0053586D">
        <w:t xml:space="preserve">more than </w:t>
      </w:r>
      <w:r>
        <w:t>400 listings in the section, based on the 9,616 listings live at the time of this writing): $1,080 per day, $32,400 per month.</w:t>
      </w:r>
    </w:p>
    <w:p w:rsidR="00744178" w:rsidRDefault="003674F6" w:rsidP="00744178">
      <w:pPr>
        <w:pStyle w:val="ListParagraph"/>
        <w:numPr>
          <w:ilvl w:val="0"/>
          <w:numId w:val="1"/>
        </w:numPr>
      </w:pPr>
      <w:r>
        <w:t xml:space="preserve">For Ribbons, assuming 10% of users in a similar group to the </w:t>
      </w:r>
      <w:proofErr w:type="gramStart"/>
      <w:r>
        <w:t>threshold,</w:t>
      </w:r>
      <w:proofErr w:type="gramEnd"/>
      <w:r>
        <w:t xml:space="preserve"> ha</w:t>
      </w:r>
      <w:r w:rsidR="00744178">
        <w:t>ve a potential of</w:t>
      </w:r>
      <w:bookmarkStart w:id="0" w:name="_GoBack"/>
      <w:r w:rsidR="00744178">
        <w:t xml:space="preserve"> $633 per day and </w:t>
      </w:r>
      <w:r>
        <w:t>$18,</w:t>
      </w:r>
      <w:r w:rsidR="00A463B2">
        <w:t>987 per month.</w:t>
      </w:r>
      <w:bookmarkEnd w:id="0"/>
      <w:r w:rsidR="00A463B2">
        <w:t xml:space="preserve"> Maximum potential looks ridiculous</w:t>
      </w:r>
      <w:r w:rsidR="00A72465">
        <w:t xml:space="preserve"> and can most likely be ignored</w:t>
      </w:r>
      <w:r w:rsidR="00A463B2">
        <w:t>, showing $9,616 per day, $288,480 per month.</w:t>
      </w:r>
    </w:p>
    <w:p w:rsidR="00A463B2" w:rsidRDefault="00A463B2" w:rsidP="00A463B2">
      <w:pPr>
        <w:pStyle w:val="Caption"/>
        <w:keepNext/>
      </w:pPr>
      <w:r>
        <w:t xml:space="preserve">Figure </w:t>
      </w:r>
      <w:fldSimple w:instr=" SEQ Figure \* ARABIC ">
        <w:r w:rsidR="003564A2">
          <w:rPr>
            <w:noProof/>
          </w:rPr>
          <w:t>1</w:t>
        </w:r>
      </w:fldSimple>
      <w:r>
        <w:t xml:space="preserve"> - Listings on Rentler (Taken February 22nd, 2012)</w:t>
      </w:r>
    </w:p>
    <w:p w:rsidR="00F931D9" w:rsidRDefault="004F4A39" w:rsidP="00744178">
      <w:r>
        <w:rPr>
          <w:noProof/>
        </w:rPr>
        <w:drawing>
          <wp:inline distT="0" distB="0" distL="0" distR="0" wp14:anchorId="57FFF300" wp14:editId="111A1EE5">
            <wp:extent cx="6962775" cy="26098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F5BE3" w:rsidRDefault="005F5BE3" w:rsidP="005F5BE3">
      <w:pPr>
        <w:pStyle w:val="Heading2"/>
      </w:pPr>
      <w:r>
        <w:t>Featured Sections</w:t>
      </w:r>
    </w:p>
    <w:p w:rsidR="005F5BE3" w:rsidRDefault="005F5BE3" w:rsidP="005F5BE3">
      <w:r>
        <w:t>To ensure that featured</w:t>
      </w:r>
      <w:r w:rsidR="00956905">
        <w:t xml:space="preserve"> listings are targeted properly they are split up by their price in $50 increments, called Featured Sections. When a page of search results is acquired, the best Featured Section for</w:t>
      </w:r>
      <w:r w:rsidR="00410BD7">
        <w:t xml:space="preserve"> the</w:t>
      </w:r>
      <w:r w:rsidR="00956905">
        <w:t xml:space="preserve"> set of results is included. The Featured Section is determined by the first item in the results.</w:t>
      </w:r>
    </w:p>
    <w:p w:rsidR="00956905" w:rsidRDefault="00956905" w:rsidP="005F5BE3">
      <w:r>
        <w:t>For example, let’s assume a user is looking for Apartments in the $200 to $600 range. The first page of results shows that the first item in the list is $205 a month. The system selects featured listings in the $0-200 Featured Section and prepend</w:t>
      </w:r>
      <w:r w:rsidR="00A72465">
        <w:t>s them to the search results, since that is the category closest to the results.</w:t>
      </w:r>
    </w:p>
    <w:p w:rsidR="00EA2DDC" w:rsidRDefault="00EA2DDC" w:rsidP="00EA2DDC">
      <w:pPr>
        <w:pStyle w:val="Heading2"/>
      </w:pPr>
      <w:r>
        <w:lastRenderedPageBreak/>
        <w:t>Slots</w:t>
      </w:r>
    </w:p>
    <w:p w:rsidR="00EA2DDC" w:rsidRPr="00EA2DDC" w:rsidRDefault="00EA2DDC" w:rsidP="00EA2DDC">
      <w:r>
        <w:t>These represent the available space in a Featured Section. There are three Slots per Featured Section, so three Featured Listings at a time will appear to a user.</w:t>
      </w:r>
    </w:p>
    <w:p w:rsidR="001F6860" w:rsidRDefault="005F5BE3" w:rsidP="005F5BE3">
      <w:pPr>
        <w:pStyle w:val="Heading2"/>
      </w:pPr>
      <w:r>
        <w:t>Featured Listing and Rotating in the Slots</w:t>
      </w:r>
    </w:p>
    <w:p w:rsidR="005F5BE3" w:rsidRPr="005F5BE3" w:rsidRDefault="005F5BE3" w:rsidP="005F5BE3">
      <w:r>
        <w:t>There are three Featured Listings for each Slot. They rotate in a simple queue, ensuring 33% of impressions for that slot.</w:t>
      </w:r>
    </w:p>
    <w:p w:rsidR="005C1987" w:rsidRDefault="005C1987" w:rsidP="005C1987">
      <w:pPr>
        <w:pStyle w:val="Heading2"/>
      </w:pPr>
      <w:r>
        <w:t>Ribbons</w:t>
      </w:r>
    </w:p>
    <w:p w:rsidR="005C1987" w:rsidRPr="005C1987" w:rsidRDefault="005C1987" w:rsidP="005C1987">
      <w:r>
        <w:t>When a user wants to add a bit of extra ‘flair’ to their listing in search results, they can purchase a Ribbon to dress it up a bit. Ribbons will be bright and colorful, and feature simple terms like “1</w:t>
      </w:r>
      <w:r w:rsidRPr="005C1987">
        <w:rPr>
          <w:vertAlign w:val="superscript"/>
        </w:rPr>
        <w:t>st</w:t>
      </w:r>
      <w:r>
        <w:t xml:space="preserve"> Month Free!</w:t>
      </w:r>
      <w:r w:rsidR="00294F23">
        <w:t>” or “Great View”</w:t>
      </w:r>
      <w:r w:rsidR="00EB3E1B">
        <w:t>. The Ribbon will appear on the listing in the top-left corner.</w:t>
      </w:r>
    </w:p>
    <w:p w:rsidR="00DF6DBD" w:rsidRDefault="00DF6D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55738" w:rsidRDefault="00855738" w:rsidP="00D52E64">
      <w:pPr>
        <w:pStyle w:val="Heading2"/>
      </w:pPr>
      <w:r>
        <w:lastRenderedPageBreak/>
        <w:t xml:space="preserve">Mockups of Search Results </w:t>
      </w:r>
      <w:r w:rsidR="00D52E64">
        <w:t>–</w:t>
      </w:r>
      <w:r>
        <w:t xml:space="preserve"> Rentler</w:t>
      </w:r>
      <w:r w:rsidR="00D52E64">
        <w:t xml:space="preserve"> and KSL</w:t>
      </w:r>
    </w:p>
    <w:p w:rsidR="00706175" w:rsidRPr="00706175" w:rsidRDefault="00706175" w:rsidP="00706175">
      <w:r>
        <w:t>O</w:t>
      </w:r>
      <w:r w:rsidR="008475CC">
        <w:t>n the left is Rentler, returning 30 results at a time</w:t>
      </w:r>
      <w:r>
        <w:t xml:space="preserve"> on a 5-column grid</w:t>
      </w:r>
      <w:r w:rsidR="00DF6DBD">
        <w:t xml:space="preserve"> with infinite scroll</w:t>
      </w:r>
      <w:r>
        <w:t xml:space="preserve">. KSL </w:t>
      </w:r>
      <w:r w:rsidR="00AB006C">
        <w:t xml:space="preserve">is on the right, with </w:t>
      </w:r>
      <w:r w:rsidR="00DF6DBD">
        <w:t>27 results at a time, on a 3-column grid with standard paging.</w:t>
      </w:r>
    </w:p>
    <w:p w:rsidR="00855738" w:rsidRPr="00855738" w:rsidRDefault="00DF6DBD" w:rsidP="00855738">
      <w:r>
        <w:rPr>
          <w:noProof/>
        </w:rPr>
        <w:drawing>
          <wp:inline distT="0" distB="0" distL="0" distR="0">
            <wp:extent cx="6858000" cy="7400925"/>
            <wp:effectExtent l="0" t="0" r="0" b="9525"/>
            <wp:docPr id="6" name="Picture 6" descr="C:\Users\Dusda\Desktop\Featured Ads and Banners Mock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usda\Desktop\Featured Ads and Banners Mockup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738" w:rsidRPr="00855738" w:rsidSect="00F93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627C"/>
    <w:multiLevelType w:val="hybridMultilevel"/>
    <w:tmpl w:val="B1D48374"/>
    <w:lvl w:ilvl="0" w:tplc="F184E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1B"/>
    <w:rsid w:val="001F6860"/>
    <w:rsid w:val="00294F23"/>
    <w:rsid w:val="002C06E4"/>
    <w:rsid w:val="002D081B"/>
    <w:rsid w:val="003564A2"/>
    <w:rsid w:val="003674F6"/>
    <w:rsid w:val="00410BD7"/>
    <w:rsid w:val="004F4A39"/>
    <w:rsid w:val="0053586D"/>
    <w:rsid w:val="005C1987"/>
    <w:rsid w:val="005F5BE3"/>
    <w:rsid w:val="00706175"/>
    <w:rsid w:val="007417B8"/>
    <w:rsid w:val="00744178"/>
    <w:rsid w:val="008475CC"/>
    <w:rsid w:val="00855738"/>
    <w:rsid w:val="00956905"/>
    <w:rsid w:val="00A173E1"/>
    <w:rsid w:val="00A463B2"/>
    <w:rsid w:val="00A72465"/>
    <w:rsid w:val="00AB006C"/>
    <w:rsid w:val="00B343D7"/>
    <w:rsid w:val="00CA3AD1"/>
    <w:rsid w:val="00CE7368"/>
    <w:rsid w:val="00D52E64"/>
    <w:rsid w:val="00DE2F52"/>
    <w:rsid w:val="00DF6DBD"/>
    <w:rsid w:val="00EA2DDC"/>
    <w:rsid w:val="00EB3E1B"/>
    <w:rsid w:val="00EC36DA"/>
    <w:rsid w:val="00F931D9"/>
    <w:rsid w:val="00F9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8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08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3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D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3B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8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D08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3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D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3B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usda\Desktop\Featured%20Ad%20Mod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2007172275632163E-2"/>
          <c:y val="1.7093892675180307E-2"/>
          <c:w val="0.81010471142239593"/>
          <c:h val="0.87610886874434812"/>
        </c:manualLayout>
      </c:layout>
      <c:lineChart>
        <c:grouping val="standard"/>
        <c:varyColors val="0"/>
        <c:ser>
          <c:idx val="2"/>
          <c:order val="2"/>
          <c:tx>
            <c:v>Number of Listings</c:v>
          </c:tx>
          <c:marker>
            <c:symbol val="none"/>
          </c:marker>
          <c:cat>
            <c:numRef>
              <c:f>tmpC4BB!$C$2:$C$38</c:f>
              <c:numCache>
                <c:formatCode>General</c:formatCode>
                <c:ptCount val="37"/>
                <c:pt idx="0">
                  <c:v>200</c:v>
                </c:pt>
                <c:pt idx="1">
                  <c:v>250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  <c:pt idx="5">
                  <c:v>450</c:v>
                </c:pt>
                <c:pt idx="6">
                  <c:v>500</c:v>
                </c:pt>
                <c:pt idx="7">
                  <c:v>550</c:v>
                </c:pt>
                <c:pt idx="8">
                  <c:v>600</c:v>
                </c:pt>
                <c:pt idx="9">
                  <c:v>650</c:v>
                </c:pt>
                <c:pt idx="10">
                  <c:v>700</c:v>
                </c:pt>
                <c:pt idx="11">
                  <c:v>750</c:v>
                </c:pt>
                <c:pt idx="12">
                  <c:v>800</c:v>
                </c:pt>
                <c:pt idx="13">
                  <c:v>850</c:v>
                </c:pt>
                <c:pt idx="14">
                  <c:v>900</c:v>
                </c:pt>
                <c:pt idx="15">
                  <c:v>950</c:v>
                </c:pt>
                <c:pt idx="16">
                  <c:v>1000</c:v>
                </c:pt>
                <c:pt idx="17">
                  <c:v>1050</c:v>
                </c:pt>
                <c:pt idx="18">
                  <c:v>1100</c:v>
                </c:pt>
                <c:pt idx="19">
                  <c:v>1150</c:v>
                </c:pt>
                <c:pt idx="20">
                  <c:v>1200</c:v>
                </c:pt>
                <c:pt idx="21">
                  <c:v>1250</c:v>
                </c:pt>
                <c:pt idx="22">
                  <c:v>1300</c:v>
                </c:pt>
                <c:pt idx="23">
                  <c:v>1350</c:v>
                </c:pt>
                <c:pt idx="24">
                  <c:v>1400</c:v>
                </c:pt>
                <c:pt idx="25">
                  <c:v>1450</c:v>
                </c:pt>
                <c:pt idx="26">
                  <c:v>1500</c:v>
                </c:pt>
                <c:pt idx="27">
                  <c:v>1550</c:v>
                </c:pt>
                <c:pt idx="28">
                  <c:v>1600</c:v>
                </c:pt>
                <c:pt idx="29">
                  <c:v>1650</c:v>
                </c:pt>
                <c:pt idx="30">
                  <c:v>1700</c:v>
                </c:pt>
                <c:pt idx="31">
                  <c:v>1750</c:v>
                </c:pt>
                <c:pt idx="32">
                  <c:v>1800</c:v>
                </c:pt>
                <c:pt idx="33">
                  <c:v>1850</c:v>
                </c:pt>
                <c:pt idx="34">
                  <c:v>1900</c:v>
                </c:pt>
                <c:pt idx="35">
                  <c:v>1950</c:v>
                </c:pt>
                <c:pt idx="36">
                  <c:v>2000</c:v>
                </c:pt>
              </c:numCache>
            </c:numRef>
          </c:cat>
          <c:val>
            <c:numRef>
              <c:f>tmpC4BB!$D$2:$D$38</c:f>
              <c:numCache>
                <c:formatCode>General</c:formatCode>
                <c:ptCount val="37"/>
                <c:pt idx="0">
                  <c:v>476</c:v>
                </c:pt>
                <c:pt idx="1">
                  <c:v>547</c:v>
                </c:pt>
                <c:pt idx="2">
                  <c:v>587</c:v>
                </c:pt>
                <c:pt idx="3">
                  <c:v>552</c:v>
                </c:pt>
                <c:pt idx="4">
                  <c:v>277</c:v>
                </c:pt>
                <c:pt idx="5">
                  <c:v>231</c:v>
                </c:pt>
                <c:pt idx="6">
                  <c:v>241</c:v>
                </c:pt>
                <c:pt idx="7">
                  <c:v>488</c:v>
                </c:pt>
                <c:pt idx="8">
                  <c:v>459</c:v>
                </c:pt>
                <c:pt idx="9">
                  <c:v>760</c:v>
                </c:pt>
                <c:pt idx="10">
                  <c:v>534</c:v>
                </c:pt>
                <c:pt idx="11">
                  <c:v>624</c:v>
                </c:pt>
                <c:pt idx="12">
                  <c:v>426</c:v>
                </c:pt>
                <c:pt idx="13">
                  <c:v>437</c:v>
                </c:pt>
                <c:pt idx="14">
                  <c:v>305</c:v>
                </c:pt>
                <c:pt idx="15">
                  <c:v>439</c:v>
                </c:pt>
                <c:pt idx="16">
                  <c:v>243</c:v>
                </c:pt>
                <c:pt idx="17">
                  <c:v>208</c:v>
                </c:pt>
                <c:pt idx="18">
                  <c:v>188</c:v>
                </c:pt>
                <c:pt idx="19">
                  <c:v>163</c:v>
                </c:pt>
                <c:pt idx="20">
                  <c:v>212</c:v>
                </c:pt>
                <c:pt idx="21">
                  <c:v>186</c:v>
                </c:pt>
                <c:pt idx="22">
                  <c:v>126</c:v>
                </c:pt>
                <c:pt idx="23">
                  <c:v>106</c:v>
                </c:pt>
                <c:pt idx="24">
                  <c:v>103</c:v>
                </c:pt>
                <c:pt idx="25">
                  <c:v>70</c:v>
                </c:pt>
                <c:pt idx="26">
                  <c:v>87</c:v>
                </c:pt>
                <c:pt idx="27">
                  <c:v>39</c:v>
                </c:pt>
                <c:pt idx="28">
                  <c:v>58</c:v>
                </c:pt>
                <c:pt idx="29">
                  <c:v>33</c:v>
                </c:pt>
                <c:pt idx="30">
                  <c:v>24</c:v>
                </c:pt>
                <c:pt idx="31">
                  <c:v>35</c:v>
                </c:pt>
                <c:pt idx="32">
                  <c:v>47</c:v>
                </c:pt>
                <c:pt idx="33">
                  <c:v>17</c:v>
                </c:pt>
                <c:pt idx="34">
                  <c:v>15</c:v>
                </c:pt>
                <c:pt idx="35">
                  <c:v>33</c:v>
                </c:pt>
                <c:pt idx="36">
                  <c:v>240</c:v>
                </c:pt>
              </c:numCache>
            </c:numRef>
          </c:val>
          <c:smooth val="0"/>
        </c:ser>
        <c:ser>
          <c:idx val="3"/>
          <c:order val="3"/>
          <c:tx>
            <c:v>Threshold</c:v>
          </c:tx>
          <c:marker>
            <c:symbol val="none"/>
          </c:marker>
          <c:cat>
            <c:numRef>
              <c:f>tmpC4BB!$C$2:$C$38</c:f>
              <c:numCache>
                <c:formatCode>General</c:formatCode>
                <c:ptCount val="37"/>
                <c:pt idx="0">
                  <c:v>200</c:v>
                </c:pt>
                <c:pt idx="1">
                  <c:v>250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  <c:pt idx="5">
                  <c:v>450</c:v>
                </c:pt>
                <c:pt idx="6">
                  <c:v>500</c:v>
                </c:pt>
                <c:pt idx="7">
                  <c:v>550</c:v>
                </c:pt>
                <c:pt idx="8">
                  <c:v>600</c:v>
                </c:pt>
                <c:pt idx="9">
                  <c:v>650</c:v>
                </c:pt>
                <c:pt idx="10">
                  <c:v>700</c:v>
                </c:pt>
                <c:pt idx="11">
                  <c:v>750</c:v>
                </c:pt>
                <c:pt idx="12">
                  <c:v>800</c:v>
                </c:pt>
                <c:pt idx="13">
                  <c:v>850</c:v>
                </c:pt>
                <c:pt idx="14">
                  <c:v>900</c:v>
                </c:pt>
                <c:pt idx="15">
                  <c:v>950</c:v>
                </c:pt>
                <c:pt idx="16">
                  <c:v>1000</c:v>
                </c:pt>
                <c:pt idx="17">
                  <c:v>1050</c:v>
                </c:pt>
                <c:pt idx="18">
                  <c:v>1100</c:v>
                </c:pt>
                <c:pt idx="19">
                  <c:v>1150</c:v>
                </c:pt>
                <c:pt idx="20">
                  <c:v>1200</c:v>
                </c:pt>
                <c:pt idx="21">
                  <c:v>1250</c:v>
                </c:pt>
                <c:pt idx="22">
                  <c:v>1300</c:v>
                </c:pt>
                <c:pt idx="23">
                  <c:v>1350</c:v>
                </c:pt>
                <c:pt idx="24">
                  <c:v>1400</c:v>
                </c:pt>
                <c:pt idx="25">
                  <c:v>1450</c:v>
                </c:pt>
                <c:pt idx="26">
                  <c:v>1500</c:v>
                </c:pt>
                <c:pt idx="27">
                  <c:v>1550</c:v>
                </c:pt>
                <c:pt idx="28">
                  <c:v>1600</c:v>
                </c:pt>
                <c:pt idx="29">
                  <c:v>1650</c:v>
                </c:pt>
                <c:pt idx="30">
                  <c:v>1700</c:v>
                </c:pt>
                <c:pt idx="31">
                  <c:v>1750</c:v>
                </c:pt>
                <c:pt idx="32">
                  <c:v>1800</c:v>
                </c:pt>
                <c:pt idx="33">
                  <c:v>1850</c:v>
                </c:pt>
                <c:pt idx="34">
                  <c:v>1900</c:v>
                </c:pt>
                <c:pt idx="35">
                  <c:v>1950</c:v>
                </c:pt>
                <c:pt idx="36">
                  <c:v>2000</c:v>
                </c:pt>
              </c:numCache>
            </c:numRef>
          </c:cat>
          <c:val>
            <c:numRef>
              <c:f>tmpC4BB!$B$2:$B$38</c:f>
              <c:numCache>
                <c:formatCode>General</c:formatCode>
                <c:ptCount val="37"/>
                <c:pt idx="0">
                  <c:v>400</c:v>
                </c:pt>
                <c:pt idx="1">
                  <c:v>400</c:v>
                </c:pt>
                <c:pt idx="2">
                  <c:v>400</c:v>
                </c:pt>
                <c:pt idx="3">
                  <c:v>400</c:v>
                </c:pt>
                <c:pt idx="4">
                  <c:v>400</c:v>
                </c:pt>
                <c:pt idx="5">
                  <c:v>400</c:v>
                </c:pt>
                <c:pt idx="6">
                  <c:v>400</c:v>
                </c:pt>
                <c:pt idx="7">
                  <c:v>400</c:v>
                </c:pt>
                <c:pt idx="8">
                  <c:v>400</c:v>
                </c:pt>
                <c:pt idx="9">
                  <c:v>400</c:v>
                </c:pt>
                <c:pt idx="10">
                  <c:v>400</c:v>
                </c:pt>
                <c:pt idx="11">
                  <c:v>400</c:v>
                </c:pt>
                <c:pt idx="12">
                  <c:v>400</c:v>
                </c:pt>
                <c:pt idx="13">
                  <c:v>400</c:v>
                </c:pt>
                <c:pt idx="14">
                  <c:v>400</c:v>
                </c:pt>
                <c:pt idx="15">
                  <c:v>400</c:v>
                </c:pt>
                <c:pt idx="16">
                  <c:v>400</c:v>
                </c:pt>
                <c:pt idx="17">
                  <c:v>400</c:v>
                </c:pt>
                <c:pt idx="18">
                  <c:v>400</c:v>
                </c:pt>
                <c:pt idx="19">
                  <c:v>400</c:v>
                </c:pt>
                <c:pt idx="20">
                  <c:v>400</c:v>
                </c:pt>
                <c:pt idx="21">
                  <c:v>400</c:v>
                </c:pt>
                <c:pt idx="22">
                  <c:v>400</c:v>
                </c:pt>
                <c:pt idx="23">
                  <c:v>400</c:v>
                </c:pt>
                <c:pt idx="24">
                  <c:v>400</c:v>
                </c:pt>
                <c:pt idx="25">
                  <c:v>400</c:v>
                </c:pt>
                <c:pt idx="26">
                  <c:v>400</c:v>
                </c:pt>
                <c:pt idx="27">
                  <c:v>400</c:v>
                </c:pt>
                <c:pt idx="28">
                  <c:v>400</c:v>
                </c:pt>
                <c:pt idx="29">
                  <c:v>400</c:v>
                </c:pt>
                <c:pt idx="30">
                  <c:v>400</c:v>
                </c:pt>
                <c:pt idx="31">
                  <c:v>400</c:v>
                </c:pt>
                <c:pt idx="32">
                  <c:v>400</c:v>
                </c:pt>
                <c:pt idx="33">
                  <c:v>400</c:v>
                </c:pt>
                <c:pt idx="34">
                  <c:v>400</c:v>
                </c:pt>
                <c:pt idx="35">
                  <c:v>400</c:v>
                </c:pt>
                <c:pt idx="36">
                  <c:v>400</c:v>
                </c:pt>
              </c:numCache>
            </c:numRef>
          </c:val>
          <c:smooth val="0"/>
        </c:ser>
        <c:ser>
          <c:idx val="0"/>
          <c:order val="0"/>
          <c:tx>
            <c:v>Number of Listings</c:v>
          </c:tx>
          <c:marker>
            <c:symbol val="none"/>
          </c:marker>
          <c:cat>
            <c:numRef>
              <c:f>tmpC4BB!$C$2:$C$38</c:f>
              <c:numCache>
                <c:formatCode>General</c:formatCode>
                <c:ptCount val="37"/>
                <c:pt idx="0">
                  <c:v>200</c:v>
                </c:pt>
                <c:pt idx="1">
                  <c:v>250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  <c:pt idx="5">
                  <c:v>450</c:v>
                </c:pt>
                <c:pt idx="6">
                  <c:v>500</c:v>
                </c:pt>
                <c:pt idx="7">
                  <c:v>550</c:v>
                </c:pt>
                <c:pt idx="8">
                  <c:v>600</c:v>
                </c:pt>
                <c:pt idx="9">
                  <c:v>650</c:v>
                </c:pt>
                <c:pt idx="10">
                  <c:v>700</c:v>
                </c:pt>
                <c:pt idx="11">
                  <c:v>750</c:v>
                </c:pt>
                <c:pt idx="12">
                  <c:v>800</c:v>
                </c:pt>
                <c:pt idx="13">
                  <c:v>850</c:v>
                </c:pt>
                <c:pt idx="14">
                  <c:v>900</c:v>
                </c:pt>
                <c:pt idx="15">
                  <c:v>950</c:v>
                </c:pt>
                <c:pt idx="16">
                  <c:v>1000</c:v>
                </c:pt>
                <c:pt idx="17">
                  <c:v>1050</c:v>
                </c:pt>
                <c:pt idx="18">
                  <c:v>1100</c:v>
                </c:pt>
                <c:pt idx="19">
                  <c:v>1150</c:v>
                </c:pt>
                <c:pt idx="20">
                  <c:v>1200</c:v>
                </c:pt>
                <c:pt idx="21">
                  <c:v>1250</c:v>
                </c:pt>
                <c:pt idx="22">
                  <c:v>1300</c:v>
                </c:pt>
                <c:pt idx="23">
                  <c:v>1350</c:v>
                </c:pt>
                <c:pt idx="24">
                  <c:v>1400</c:v>
                </c:pt>
                <c:pt idx="25">
                  <c:v>1450</c:v>
                </c:pt>
                <c:pt idx="26">
                  <c:v>1500</c:v>
                </c:pt>
                <c:pt idx="27">
                  <c:v>1550</c:v>
                </c:pt>
                <c:pt idx="28">
                  <c:v>1600</c:v>
                </c:pt>
                <c:pt idx="29">
                  <c:v>1650</c:v>
                </c:pt>
                <c:pt idx="30">
                  <c:v>1700</c:v>
                </c:pt>
                <c:pt idx="31">
                  <c:v>1750</c:v>
                </c:pt>
                <c:pt idx="32">
                  <c:v>1800</c:v>
                </c:pt>
                <c:pt idx="33">
                  <c:v>1850</c:v>
                </c:pt>
                <c:pt idx="34">
                  <c:v>1900</c:v>
                </c:pt>
                <c:pt idx="35">
                  <c:v>1950</c:v>
                </c:pt>
                <c:pt idx="36">
                  <c:v>2000</c:v>
                </c:pt>
              </c:numCache>
            </c:numRef>
          </c:cat>
          <c:val>
            <c:numRef>
              <c:f>tmpC4BB!$D$2:$D$38</c:f>
              <c:numCache>
                <c:formatCode>General</c:formatCode>
                <c:ptCount val="37"/>
                <c:pt idx="0">
                  <c:v>476</c:v>
                </c:pt>
                <c:pt idx="1">
                  <c:v>547</c:v>
                </c:pt>
                <c:pt idx="2">
                  <c:v>587</c:v>
                </c:pt>
                <c:pt idx="3">
                  <c:v>552</c:v>
                </c:pt>
                <c:pt idx="4">
                  <c:v>277</c:v>
                </c:pt>
                <c:pt idx="5">
                  <c:v>231</c:v>
                </c:pt>
                <c:pt idx="6">
                  <c:v>241</c:v>
                </c:pt>
                <c:pt idx="7">
                  <c:v>488</c:v>
                </c:pt>
                <c:pt idx="8">
                  <c:v>459</c:v>
                </c:pt>
                <c:pt idx="9">
                  <c:v>760</c:v>
                </c:pt>
                <c:pt idx="10">
                  <c:v>534</c:v>
                </c:pt>
                <c:pt idx="11">
                  <c:v>624</c:v>
                </c:pt>
                <c:pt idx="12">
                  <c:v>426</c:v>
                </c:pt>
                <c:pt idx="13">
                  <c:v>437</c:v>
                </c:pt>
                <c:pt idx="14">
                  <c:v>305</c:v>
                </c:pt>
                <c:pt idx="15">
                  <c:v>439</c:v>
                </c:pt>
                <c:pt idx="16">
                  <c:v>243</c:v>
                </c:pt>
                <c:pt idx="17">
                  <c:v>208</c:v>
                </c:pt>
                <c:pt idx="18">
                  <c:v>188</c:v>
                </c:pt>
                <c:pt idx="19">
                  <c:v>163</c:v>
                </c:pt>
                <c:pt idx="20">
                  <c:v>212</c:v>
                </c:pt>
                <c:pt idx="21">
                  <c:v>186</c:v>
                </c:pt>
                <c:pt idx="22">
                  <c:v>126</c:v>
                </c:pt>
                <c:pt idx="23">
                  <c:v>106</c:v>
                </c:pt>
                <c:pt idx="24">
                  <c:v>103</c:v>
                </c:pt>
                <c:pt idx="25">
                  <c:v>70</c:v>
                </c:pt>
                <c:pt idx="26">
                  <c:v>87</c:v>
                </c:pt>
                <c:pt idx="27">
                  <c:v>39</c:v>
                </c:pt>
                <c:pt idx="28">
                  <c:v>58</c:v>
                </c:pt>
                <c:pt idx="29">
                  <c:v>33</c:v>
                </c:pt>
                <c:pt idx="30">
                  <c:v>24</c:v>
                </c:pt>
                <c:pt idx="31">
                  <c:v>35</c:v>
                </c:pt>
                <c:pt idx="32">
                  <c:v>47</c:v>
                </c:pt>
                <c:pt idx="33">
                  <c:v>17</c:v>
                </c:pt>
                <c:pt idx="34">
                  <c:v>15</c:v>
                </c:pt>
                <c:pt idx="35">
                  <c:v>33</c:v>
                </c:pt>
                <c:pt idx="36">
                  <c:v>240</c:v>
                </c:pt>
              </c:numCache>
            </c:numRef>
          </c:val>
          <c:smooth val="0"/>
        </c:ser>
        <c:ser>
          <c:idx val="1"/>
          <c:order val="1"/>
          <c:tx>
            <c:v>Threshold</c:v>
          </c:tx>
          <c:marker>
            <c:symbol val="none"/>
          </c:marker>
          <c:cat>
            <c:numRef>
              <c:f>tmpC4BB!$C$2:$C$38</c:f>
              <c:numCache>
                <c:formatCode>General</c:formatCode>
                <c:ptCount val="37"/>
                <c:pt idx="0">
                  <c:v>200</c:v>
                </c:pt>
                <c:pt idx="1">
                  <c:v>250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  <c:pt idx="5">
                  <c:v>450</c:v>
                </c:pt>
                <c:pt idx="6">
                  <c:v>500</c:v>
                </c:pt>
                <c:pt idx="7">
                  <c:v>550</c:v>
                </c:pt>
                <c:pt idx="8">
                  <c:v>600</c:v>
                </c:pt>
                <c:pt idx="9">
                  <c:v>650</c:v>
                </c:pt>
                <c:pt idx="10">
                  <c:v>700</c:v>
                </c:pt>
                <c:pt idx="11">
                  <c:v>750</c:v>
                </c:pt>
                <c:pt idx="12">
                  <c:v>800</c:v>
                </c:pt>
                <c:pt idx="13">
                  <c:v>850</c:v>
                </c:pt>
                <c:pt idx="14">
                  <c:v>900</c:v>
                </c:pt>
                <c:pt idx="15">
                  <c:v>950</c:v>
                </c:pt>
                <c:pt idx="16">
                  <c:v>1000</c:v>
                </c:pt>
                <c:pt idx="17">
                  <c:v>1050</c:v>
                </c:pt>
                <c:pt idx="18">
                  <c:v>1100</c:v>
                </c:pt>
                <c:pt idx="19">
                  <c:v>1150</c:v>
                </c:pt>
                <c:pt idx="20">
                  <c:v>1200</c:v>
                </c:pt>
                <c:pt idx="21">
                  <c:v>1250</c:v>
                </c:pt>
                <c:pt idx="22">
                  <c:v>1300</c:v>
                </c:pt>
                <c:pt idx="23">
                  <c:v>1350</c:v>
                </c:pt>
                <c:pt idx="24">
                  <c:v>1400</c:v>
                </c:pt>
                <c:pt idx="25">
                  <c:v>1450</c:v>
                </c:pt>
                <c:pt idx="26">
                  <c:v>1500</c:v>
                </c:pt>
                <c:pt idx="27">
                  <c:v>1550</c:v>
                </c:pt>
                <c:pt idx="28">
                  <c:v>1600</c:v>
                </c:pt>
                <c:pt idx="29">
                  <c:v>1650</c:v>
                </c:pt>
                <c:pt idx="30">
                  <c:v>1700</c:v>
                </c:pt>
                <c:pt idx="31">
                  <c:v>1750</c:v>
                </c:pt>
                <c:pt idx="32">
                  <c:v>1800</c:v>
                </c:pt>
                <c:pt idx="33">
                  <c:v>1850</c:v>
                </c:pt>
                <c:pt idx="34">
                  <c:v>1900</c:v>
                </c:pt>
                <c:pt idx="35">
                  <c:v>1950</c:v>
                </c:pt>
                <c:pt idx="36">
                  <c:v>2000</c:v>
                </c:pt>
              </c:numCache>
            </c:numRef>
          </c:cat>
          <c:val>
            <c:numRef>
              <c:f>tmpC4BB!$B$2:$B$38</c:f>
              <c:numCache>
                <c:formatCode>General</c:formatCode>
                <c:ptCount val="37"/>
                <c:pt idx="0">
                  <c:v>400</c:v>
                </c:pt>
                <c:pt idx="1">
                  <c:v>400</c:v>
                </c:pt>
                <c:pt idx="2">
                  <c:v>400</c:v>
                </c:pt>
                <c:pt idx="3">
                  <c:v>400</c:v>
                </c:pt>
                <c:pt idx="4">
                  <c:v>400</c:v>
                </c:pt>
                <c:pt idx="5">
                  <c:v>400</c:v>
                </c:pt>
                <c:pt idx="6">
                  <c:v>400</c:v>
                </c:pt>
                <c:pt idx="7">
                  <c:v>400</c:v>
                </c:pt>
                <c:pt idx="8">
                  <c:v>400</c:v>
                </c:pt>
                <c:pt idx="9">
                  <c:v>400</c:v>
                </c:pt>
                <c:pt idx="10">
                  <c:v>400</c:v>
                </c:pt>
                <c:pt idx="11">
                  <c:v>400</c:v>
                </c:pt>
                <c:pt idx="12">
                  <c:v>400</c:v>
                </c:pt>
                <c:pt idx="13">
                  <c:v>400</c:v>
                </c:pt>
                <c:pt idx="14">
                  <c:v>400</c:v>
                </c:pt>
                <c:pt idx="15">
                  <c:v>400</c:v>
                </c:pt>
                <c:pt idx="16">
                  <c:v>400</c:v>
                </c:pt>
                <c:pt idx="17">
                  <c:v>400</c:v>
                </c:pt>
                <c:pt idx="18">
                  <c:v>400</c:v>
                </c:pt>
                <c:pt idx="19">
                  <c:v>400</c:v>
                </c:pt>
                <c:pt idx="20">
                  <c:v>400</c:v>
                </c:pt>
                <c:pt idx="21">
                  <c:v>400</c:v>
                </c:pt>
                <c:pt idx="22">
                  <c:v>400</c:v>
                </c:pt>
                <c:pt idx="23">
                  <c:v>400</c:v>
                </c:pt>
                <c:pt idx="24">
                  <c:v>400</c:v>
                </c:pt>
                <c:pt idx="25">
                  <c:v>400</c:v>
                </c:pt>
                <c:pt idx="26">
                  <c:v>400</c:v>
                </c:pt>
                <c:pt idx="27">
                  <c:v>400</c:v>
                </c:pt>
                <c:pt idx="28">
                  <c:v>400</c:v>
                </c:pt>
                <c:pt idx="29">
                  <c:v>400</c:v>
                </c:pt>
                <c:pt idx="30">
                  <c:v>400</c:v>
                </c:pt>
                <c:pt idx="31">
                  <c:v>400</c:v>
                </c:pt>
                <c:pt idx="32">
                  <c:v>400</c:v>
                </c:pt>
                <c:pt idx="33">
                  <c:v>400</c:v>
                </c:pt>
                <c:pt idx="34">
                  <c:v>400</c:v>
                </c:pt>
                <c:pt idx="35">
                  <c:v>400</c:v>
                </c:pt>
                <c:pt idx="36">
                  <c:v>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6252928"/>
        <c:axId val="171870464"/>
      </c:lineChart>
      <c:catAx>
        <c:axId val="136252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1870464"/>
        <c:crosses val="autoZero"/>
        <c:auto val="1"/>
        <c:lblAlgn val="ctr"/>
        <c:lblOffset val="100"/>
        <c:noMultiLvlLbl val="0"/>
      </c:catAx>
      <c:valAx>
        <c:axId val="171870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252928"/>
        <c:crosses val="autoZero"/>
        <c:crossBetween val="between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ayout>
        <c:manualLayout>
          <c:xMode val="edge"/>
          <c:yMode val="edge"/>
          <c:x val="0.87563076503261994"/>
          <c:y val="0.70397609057991828"/>
          <c:w val="0.12254524955926337"/>
          <c:h val="0.2927777458474625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Dusda</dc:creator>
  <cp:lastModifiedBy>Dusda</cp:lastModifiedBy>
  <cp:revision>21</cp:revision>
  <cp:lastPrinted>2012-02-23T23:44:00Z</cp:lastPrinted>
  <dcterms:created xsi:type="dcterms:W3CDTF">2012-02-23T20:14:00Z</dcterms:created>
  <dcterms:modified xsi:type="dcterms:W3CDTF">2012-02-24T21:10:00Z</dcterms:modified>
</cp:coreProperties>
</file>