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C1A2" w14:textId="3A4B4096" w:rsidR="00B71D27" w:rsidRPr="009812ED" w:rsidRDefault="009812ED" w:rsidP="009812ED">
      <w:pPr>
        <w:pStyle w:val="1"/>
        <w:jc w:val="center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系统设计与测试验收</w:t>
      </w:r>
    </w:p>
    <w:p w14:paraId="7B050803" w14:textId="77777777" w:rsidR="009812ED" w:rsidRDefault="009812ED" w:rsidP="009812ED">
      <w:pPr>
        <w:pStyle w:val="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2.1 前端设计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本系统前端采用 React 18.3.1、TypeScript 5.7.3 与 Vite 5.4 系列构建，以组件化方式组织申请首页、五步授信流程、分析报告和人工智能辅助区域。页面由统一状态驱动，申请人依次完成基本信息上传、身份核验、经营数据准备、相关数据授权和授信报告查看；当前状态与随机商户编号一致，避免页面间数据错位。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演示数据不再固定为少量样例。后端模拟数据库包含 M001 至 M005 五组商户记录，首页通过 /api/v1/demo/cases/random 随机抽取一组，并在换一组时排除当前记录。抽取后，申请人资料、商户信息、材料状态、异常证据、资金缺口和预期分析结果始终绑定同一商户编号；接口使用 no-store 响应策略，减少浏览器缓存造成重复展示的可能。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五步流程保留原有字段、材料、授权和报告结构。前端负责输入约束、必填项提示、步骤切换与结果展示；信用评分、建议额度、异常识别、资金缺口和审核门控仍由后端确定性规则计算。申请金额仅作为需求输入，页面不会把它表述为承诺额度，人工智能组件也不能改写规则计算结果。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流程助手继续作为桌面网页右下角的浮动弹窗，不改变原页面导航、表单、进度条和报告布局。弹窗内部按照设计参考图调整为问候语、蓝色头像、黑色推荐问题按钮及灰色输入区，并保留当前步骤与“不参与审批”的范围提示。附件加号在当前版本保持禁用并明确说明暂不支持附件问答，避免展示未实现的能力。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助手回答区按标题和要点分组呈现，兼顾严谨性与可读性；用户提问、模型回答、证据编号、转人工提示和不可用状态采用不同的视觉层级。即使人工智能接口超时、未配置密钥或返回内容未通过校验，原有五步流程和授信报告仍可继续使用，页面只在人工智能区域显示暂不可用提示。</w:t>
      </w:r>
    </w:p>
    <w:p w14:paraId="7B050803" w14:textId="77777777" w:rsidR="009812ED" w:rsidRDefault="009812ED" w:rsidP="009812ED">
      <w:pPr>
        <w:pStyle w:val="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2.2 LLM 的应用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系统将大语言模型拆分为两个相互独立的工作流。流程助手通过 POST /api/v1/assistant/messages 接收当前问题、当前步骤、经过筛选的结构化状态和审核过的知识条目，用于解释字段含义、材料要求、授权用途和既有分析结果；智能解读通过 POST /api/v1/ai/report-summary 读取后端已经生成的 FullAnalysisResult，用于归纳综合结论、有利因素、风险因素、资金缺口解释和建议动作。两条工作流使用不同提示词、输入边界与输出结构。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供应商适配层采用 DeepSeek 的 OpenAI 兼容 Chat Completions 接口并要求 JSON 模式返回，后端用 Pydantic 校验字段。模型名称、接口地址和密钥由后端环境变量管理，密钥不进入前端代码。仓库保留可选的本地 LoRA 数据准备与训练流程，但网站当前功能不依赖微调模型，也不把该流程表述为已完成的生产训练。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模型遵循最小数据原则。流程助手只获得回答当前问题所需的步骤信息、材料状态和版本化知识，不直接读取原始身份证件、营业执照或流水全文；智能解读只获得既有结构化分析结果，不重新计算评分或额度。原始上传内容中即使包含提示词式文本，也不能改变系统规则、知识边界或授信门控。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智能解读固定输出 overall_summary、positive_factors、risk_factors、cash_gap_interpretation、recommended_actions、evidence_refs 和 disclaimer 等字段。服务端进一步检查证据编号是否存在、回答中的关键数字是否与结构化结果一致、是否出现授信保证或审批承诺，以及助手回答是否具有清晰的分点结构。首次响应未通过时允许进行一次约束修复；修复仍失败则返回明确的不可用状态。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为满足可追溯要求，后端记录供应商、模型名称、提示词版本、知识或规则来源版本、响应状态及令牌用量等审计信息，但不记录接口密钥，也不把原始上传文件全文写入人工智能审计日志。人工智能只承担解释、归纳和文字表达，最终评分、额度、异常证据、资金缺口和审核结论均以现有规则引擎结果为准。</w:t>
      </w:r>
    </w:p>
    <w:p w14:paraId="7B050803" w14:textId="77777777" w:rsidR="009812ED" w:rsidRDefault="009812ED" w:rsidP="009812ED">
      <w:pPr>
        <w:pStyle w:val="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2.3 测试验收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本次代码验收覆盖后端自动化测试、前端生产构建和桌面端页面检查。后端测试共 58 项，执行结果为全部通过；前端 TypeScript 编译与 Vite 生产构建通过。上述结果证明当前仓库中的接口契约、规则计算、人工智能适配逻辑和前端静态构建在测试环境下能够正常运行。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随机演示数据测试覆盖五组商户的可抽取性、排除当前记录、接口禁用缓存以及同一商户全链路数据一致性，并逐组核对预期分析结果。规则相关测试继续验证评分、建议额度、异常交易证据、资金缺口预测和审核门控，确保随机展示不会把不同商户的申请资料与报告结果混合。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人工智能测试使用模拟供应商响应，不发送项目数据到真实供应商。测试覆盖未配置密钥时的明确降级、DeepSeek JSON 模式请求、结构化输出解析、证据编号校验、数字一致性校验、禁止授信承诺、可读性结构约束、一次修复及修复失败后的不可用状态。原有评分、授信报告和五步流程在人工智能失败场景下仍保持可用。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桌面端界面验收确认助手维持右下角浮动弹窗，打开和收起可用，内部形式与参考图一致，网页其他区域布局未变。推荐问题、空输入禁用发送、附件按钮禁用提示和步骤范围说明可见，浏览器控制台无错误或警告。验收针对桌面页面，不把参考图片画布视为手机端尺寸要求。</w:t>
      </w:r>
    </w:p>
    <w:p w14:paraId="7265B238" w14:textId="25DE3203" w:rsidR="009812ED" w:rsidRPr="009812ED" w:rsidRDefault="009812ED" w:rsidP="009D7ECC">
      <w:pPr>
        <w:ind w:firstLineChars="200" w:firstLine="44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本次未执行真实 DeepSeek 付费调用，也未完成生产部署、银行真实系统接入及外部正式验收。真实时延、费用、线上准确率和验收结论均留待具备合规环境与正式人员后，以实测记录补充。</w:t>
      </w:r>
    </w:p>
    <w:sectPr w:rsidR="009812ED" w:rsidRPr="00C256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3DC5E" w14:textId="77777777" w:rsidR="00485DF0" w:rsidRDefault="00485DF0" w:rsidP="009812ED">
      <w:pPr>
        <w:spacing w:after="0" w:line="240" w:lineRule="auto"/>
      </w:pPr>
      <w:r>
        <w:separator/>
      </w:r>
    </w:p>
  </w:endnote>
  <w:endnote w:type="continuationSeparator" w:id="0">
    <w:p w14:paraId="1BF6B12E" w14:textId="77777777" w:rsidR="00485DF0" w:rsidRDefault="00485DF0" w:rsidP="00981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216FA" w14:textId="77777777" w:rsidR="00485DF0" w:rsidRDefault="00485DF0" w:rsidP="009812ED">
      <w:pPr>
        <w:spacing w:after="0" w:line="240" w:lineRule="auto"/>
      </w:pPr>
      <w:r>
        <w:separator/>
      </w:r>
    </w:p>
  </w:footnote>
  <w:footnote w:type="continuationSeparator" w:id="0">
    <w:p w14:paraId="61823296" w14:textId="77777777" w:rsidR="00485DF0" w:rsidRDefault="00485DF0" w:rsidP="009812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3C"/>
    <w:rsid w:val="00060367"/>
    <w:rsid w:val="00062CFA"/>
    <w:rsid w:val="000D3E50"/>
    <w:rsid w:val="001C0646"/>
    <w:rsid w:val="002C4AAC"/>
    <w:rsid w:val="002E4953"/>
    <w:rsid w:val="003224A0"/>
    <w:rsid w:val="00485DF0"/>
    <w:rsid w:val="00485F8E"/>
    <w:rsid w:val="0068405D"/>
    <w:rsid w:val="00807EAF"/>
    <w:rsid w:val="008D04D8"/>
    <w:rsid w:val="00912E35"/>
    <w:rsid w:val="00915BBD"/>
    <w:rsid w:val="009812ED"/>
    <w:rsid w:val="009C2092"/>
    <w:rsid w:val="009D7ECC"/>
    <w:rsid w:val="009F2992"/>
    <w:rsid w:val="00B1263C"/>
    <w:rsid w:val="00B71D27"/>
    <w:rsid w:val="00C2563C"/>
    <w:rsid w:val="00D91E52"/>
    <w:rsid w:val="00E461BD"/>
    <w:rsid w:val="00EE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323A61"/>
  <w15:chartTrackingRefBased/>
  <w15:docId w15:val="{0547E61D-16C4-4D74-9B0D-FA1DE5E0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26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12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6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26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26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26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26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26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26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26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12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2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26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26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26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26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26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26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26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2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26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26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2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26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26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26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2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26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263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12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12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12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12ED"/>
    <w:rPr>
      <w:sz w:val="18"/>
      <w:szCs w:val="18"/>
    </w:rPr>
  </w:style>
  <w:style w:type="table" w:styleId="af2">
    <w:name w:val="Table Grid"/>
    <w:basedOn w:val="a1"/>
    <w:uiPriority w:val="59"/>
    <w:rsid w:val="009812ED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442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映月 谈</dc:creator>
  <cp:keywords/>
  <dc:description/>
  <cp:lastModifiedBy>映月 谈</cp:lastModifiedBy>
  <cp:revision>5</cp:revision>
  <dcterms:created xsi:type="dcterms:W3CDTF">2026-08-19T02:32:00Z</dcterms:created>
  <dcterms:modified xsi:type="dcterms:W3CDTF">2026-08-19T08:34:00Z</dcterms:modified>
</cp:coreProperties>
</file>