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AIRA Project Test Document</w:t>
      </w:r>
    </w:p>
    <w:p>
      <w:pPr>
        <w:pStyle w:val="Heading1"/>
      </w:pPr>
      <w:r>
        <w:t>1. Market Landscape &amp; Capital Activity</w:t>
      </w:r>
    </w:p>
    <w:p>
      <w:r>
        <w:t>According to the Market_Analysis_2026 report, there is a strong shift towards agentic system platforms in Q1 2026. Capital allocation has increased by 45% compared to Q4 2025.</w:t>
      </w:r>
    </w:p>
    <w:p>
      <w:pPr>
        <w:pStyle w:val="Heading1"/>
      </w:pPr>
      <w:r>
        <w:t>2. Operational Milestones</w:t>
      </w:r>
    </w:p>
    <w:p>
      <w:r>
        <w:t>The project milestones track a consistent delivery velocity. The core LLM pipelines were completed 2 weeks ahead of schedule.</w:t>
      </w:r>
    </w:p>
    <w:p>
      <w:pPr>
        <w:pStyle w:val="Heading1"/>
      </w:pPr>
      <w:r>
        <w:t>3. Identified Bottlenecks</w:t>
      </w:r>
    </w:p>
    <w:p>
      <w:r>
        <w:t>Deployment latency in secondary staging environments is currently lagging by 12% due to integration overhead.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