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0D" w:rsidRDefault="0048240D">
      <w:pPr>
        <w:jc w:val="both"/>
        <w:rPr>
          <w:b/>
          <w:bCs/>
          <w:noProof w:val="0"/>
          <w:rtl/>
        </w:rPr>
      </w:pPr>
      <w:r>
        <w:rPr>
          <w:b/>
          <w:bCs/>
          <w:noProof w:val="0"/>
          <w:rtl/>
        </w:rPr>
        <w:t>כללי לשכת עורכי הדין (תעריף מקסימלי לשכר טרחה בטיפול בתביעות לפי חוק פיצויים לנפגעי תאונת דרכים) התשל"ז-1977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  <w:r>
        <w:rPr>
          <w:noProof w:val="0"/>
          <w:sz w:val="20"/>
          <w:szCs w:val="20"/>
          <w:rtl/>
        </w:rPr>
        <w:t>בתוקף סמכותה לפי סעיף 16 לחוק פיצויים לנפגעי תאונות דרכים, התשל"ה-1975, ולפי חוק לשכת עורכי הדין, התשכ"א-1961, מתקינה המועצה הארצית של לשכת עורכי-הדין כללים אלה: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21"/>
        <w:numPr>
          <w:ilvl w:val="0"/>
          <w:numId w:val="19"/>
        </w:numPr>
        <w:jc w:val="both"/>
        <w:rPr>
          <w:b/>
          <w:bCs/>
          <w:noProof w:val="0"/>
          <w:rtl/>
        </w:rPr>
      </w:pPr>
      <w:r>
        <w:rPr>
          <w:b/>
          <w:bCs/>
          <w:noProof w:val="0"/>
          <w:rtl/>
        </w:rPr>
        <w:t xml:space="preserve">הגדרות </w:t>
      </w:r>
    </w:p>
    <w:p w:rsidR="0048240D" w:rsidRDefault="0048240D">
      <w:pPr>
        <w:pStyle w:val="a3"/>
        <w:spacing w:line="360" w:lineRule="auto"/>
        <w:ind w:left="243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"החוק" - חוק פיצויים לנפגעי תאונות דרכים, התשל"ה-1975;</w:t>
      </w:r>
    </w:p>
    <w:p w:rsidR="0048240D" w:rsidRDefault="0048240D">
      <w:pPr>
        <w:pStyle w:val="a3"/>
        <w:spacing w:line="360" w:lineRule="auto"/>
        <w:ind w:left="243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"שכר טרחה" - שכר טרחה שנקבע לפי תוצאות הטיפול.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21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  <w:noProof w:val="0"/>
          <w:rtl/>
        </w:rPr>
        <w:t>שכר טרחה לאחר פסק-דין</w:t>
      </w:r>
    </w:p>
    <w:p w:rsidR="0048240D" w:rsidRDefault="0048240D">
      <w:pPr>
        <w:pStyle w:val="a3"/>
        <w:spacing w:line="360" w:lineRule="auto"/>
        <w:ind w:left="243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שכר טרחה בעד הטיפול בתביעה לפי החוק שהוגשה לבית המשפט, לא יעלה על 13% מהסכום שנפסק.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21"/>
        <w:numPr>
          <w:ilvl w:val="0"/>
          <w:numId w:val="19"/>
        </w:numPr>
        <w:jc w:val="both"/>
        <w:rPr>
          <w:b/>
          <w:bCs/>
          <w:noProof w:val="0"/>
          <w:rtl/>
        </w:rPr>
      </w:pPr>
      <w:r>
        <w:rPr>
          <w:b/>
          <w:bCs/>
          <w:noProof w:val="0"/>
          <w:rtl/>
        </w:rPr>
        <w:t>שכר טרחה בפשרה</w:t>
      </w:r>
    </w:p>
    <w:p w:rsidR="0048240D" w:rsidRDefault="0048240D">
      <w:pPr>
        <w:pStyle w:val="a3"/>
        <w:spacing w:line="360" w:lineRule="auto"/>
        <w:ind w:left="243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על אף האמור בסעיף 2, שכר טרחה בעד הטיפול בתביעה לפי החוק שהוגשה לבית-המשפט שהסתיים בפשרה לא יעלה על 11% מהסכום שהוסכם לשלמו לנפגע על פי הפשרה.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21"/>
        <w:numPr>
          <w:ilvl w:val="0"/>
          <w:numId w:val="19"/>
        </w:numPr>
        <w:jc w:val="both"/>
        <w:rPr>
          <w:b/>
          <w:bCs/>
          <w:noProof w:val="0"/>
          <w:rtl/>
        </w:rPr>
      </w:pPr>
      <w:r>
        <w:rPr>
          <w:b/>
          <w:bCs/>
          <w:noProof w:val="0"/>
          <w:rtl/>
        </w:rPr>
        <w:t>שכר טרחה כשאין הליכים משפטיים</w:t>
      </w:r>
    </w:p>
    <w:p w:rsidR="0048240D" w:rsidRDefault="0048240D">
      <w:pPr>
        <w:pStyle w:val="a3"/>
        <w:spacing w:line="360" w:lineRule="auto"/>
        <w:ind w:left="243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שכר טרחה בעד הטיפול בתביעה לפי החוק שהסתיים ללא הגשת תביעה לבית-המשפט לא יעלה על 8% מהסכום שהוסכם לשלמו לנפגע.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21"/>
        <w:numPr>
          <w:ilvl w:val="0"/>
          <w:numId w:val="19"/>
        </w:numPr>
        <w:jc w:val="both"/>
        <w:rPr>
          <w:b/>
          <w:bCs/>
          <w:noProof w:val="0"/>
          <w:rtl/>
        </w:rPr>
      </w:pPr>
      <w:r>
        <w:rPr>
          <w:b/>
          <w:bCs/>
          <w:noProof w:val="0"/>
          <w:rtl/>
        </w:rPr>
        <w:t>מס ערך מוסף</w:t>
      </w:r>
    </w:p>
    <w:p w:rsidR="0048240D" w:rsidRDefault="0048240D">
      <w:pPr>
        <w:pStyle w:val="a3"/>
        <w:spacing w:line="360" w:lineRule="auto"/>
        <w:ind w:left="243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השיעורים שנקבעו בכללים אלה אינם כוללים מס ערך מוסף שבו נתחייב עורך-הדין לפי חוק מס ערך מוסף, התשל"ו-1976.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21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  <w:noProof w:val="0"/>
          <w:rtl/>
        </w:rPr>
        <w:t>השם</w:t>
      </w:r>
    </w:p>
    <w:p w:rsidR="0048240D" w:rsidRDefault="0048240D">
      <w:pPr>
        <w:pStyle w:val="21"/>
        <w:ind w:left="153"/>
        <w:jc w:val="both"/>
        <w:rPr>
          <w:noProof w:val="0"/>
          <w:rtl/>
        </w:rPr>
      </w:pPr>
      <w:r>
        <w:rPr>
          <w:noProof w:val="0"/>
          <w:rtl/>
        </w:rPr>
        <w:t>לכללים אלה ייקראו "כללי לשכת עורכי הדין (תעריף מקסימלי לשכר טרחה בטיפול בתביעות לפי חוק פיצויים לנפגעי תאונות דרכים), התשל"ז-1977".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953B37" w:rsidRDefault="00953B37">
      <w:pPr>
        <w:spacing w:line="360" w:lineRule="auto"/>
        <w:jc w:val="both"/>
        <w:rPr>
          <w:rFonts w:hint="cs"/>
          <w:noProof w:val="0"/>
          <w:sz w:val="20"/>
          <w:szCs w:val="20"/>
          <w:rtl/>
        </w:rPr>
      </w:pPr>
    </w:p>
    <w:p w:rsidR="005F5DFE" w:rsidRDefault="005F5DFE">
      <w:pPr>
        <w:spacing w:line="360" w:lineRule="auto"/>
        <w:jc w:val="both"/>
        <w:rPr>
          <w:noProof w:val="0"/>
          <w:sz w:val="20"/>
          <w:szCs w:val="20"/>
          <w:rtl/>
        </w:rPr>
      </w:pPr>
      <w:bookmarkStart w:id="0" w:name="_GoBack"/>
      <w:bookmarkEnd w:id="0"/>
    </w:p>
    <w:p w:rsidR="0048240D" w:rsidRDefault="0048240D">
      <w:pPr>
        <w:pStyle w:val="21"/>
        <w:ind w:left="153"/>
        <w:jc w:val="left"/>
        <w:rPr>
          <w:b/>
          <w:bCs/>
          <w:noProof w:val="0"/>
          <w:sz w:val="24"/>
          <w:szCs w:val="24"/>
          <w:rtl/>
        </w:rPr>
      </w:pPr>
      <w:r>
        <w:rPr>
          <w:b/>
          <w:bCs/>
          <w:noProof w:val="0"/>
          <w:sz w:val="24"/>
          <w:szCs w:val="24"/>
          <w:rtl/>
        </w:rPr>
        <w:lastRenderedPageBreak/>
        <w:t>תעריפים מקסימליים מומלצים שנקבעו בהחלטות הועד המרכזי של לשכת עורכי הדין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 w:rsidRPr="00455288">
        <w:rPr>
          <w:b w:val="0"/>
          <w:bCs w:val="0"/>
          <w:noProof w:val="0"/>
          <w:sz w:val="20"/>
          <w:szCs w:val="20"/>
          <w:rtl/>
        </w:rPr>
        <w:t xml:space="preserve">א. </w:t>
      </w:r>
      <w:r>
        <w:rPr>
          <w:noProof w:val="0"/>
          <w:sz w:val="20"/>
          <w:szCs w:val="20"/>
          <w:u w:val="single"/>
          <w:rtl/>
        </w:rPr>
        <w:t>נזיקין</w:t>
      </w:r>
      <w:r>
        <w:rPr>
          <w:b w:val="0"/>
          <w:bCs w:val="0"/>
          <w:noProof w:val="0"/>
          <w:sz w:val="20"/>
          <w:szCs w:val="20"/>
          <w:rtl/>
        </w:rPr>
        <w:t xml:space="preserve"> (מתייחס לתביעות ונזקי גוף שלא לפי חוק פיצויים לנפגעי תאונות דרכים):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בכל מקרה ששכ"ט נקבע באחוזים על הסכום שנפסק או שנתקבל בפועל, לא יגבה עו"ד שכר טרחה העולה על השיעורים המפורטים דהיינו: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1. עד 60,000 הש"ח הראשונים שיושגו ע"י עו"ד בתביעה לפיצויי נזיקין לא יחול תעריף מקסימלי.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2. במקרה של פשרה ולפני הגשת התביעה - 15%.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3. אם הפשרה הושגה לאחר הגשת התביעה ולפני דיון - 17.5%.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4. בכל מקרה אחר - 20%.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 w:rsidRPr="00000D12">
        <w:rPr>
          <w:b w:val="0"/>
          <w:bCs w:val="0"/>
          <w:noProof w:val="0"/>
          <w:sz w:val="20"/>
          <w:szCs w:val="20"/>
          <w:rtl/>
        </w:rPr>
        <w:t xml:space="preserve">ב. </w:t>
      </w:r>
      <w:r>
        <w:rPr>
          <w:noProof w:val="0"/>
          <w:sz w:val="20"/>
          <w:szCs w:val="20"/>
          <w:u w:val="single"/>
          <w:rtl/>
        </w:rPr>
        <w:t>מזונות</w:t>
      </w:r>
      <w:r>
        <w:rPr>
          <w:noProof w:val="0"/>
          <w:sz w:val="20"/>
          <w:szCs w:val="20"/>
          <w:rtl/>
        </w:rPr>
        <w:t xml:space="preserve"> </w:t>
      </w:r>
      <w:r>
        <w:rPr>
          <w:b w:val="0"/>
          <w:bCs w:val="0"/>
          <w:noProof w:val="0"/>
          <w:sz w:val="20"/>
          <w:szCs w:val="20"/>
          <w:rtl/>
        </w:rPr>
        <w:t>(להוציא בקשות למזונות זמניים): לא יגבה עו"ד עבור תביעה למזונות סכום העולה על 15% מהסכום הנתבע למזונות לתקופה של שנה אחת.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 w:rsidRPr="00000D12">
        <w:rPr>
          <w:b w:val="0"/>
          <w:bCs w:val="0"/>
          <w:noProof w:val="0"/>
          <w:sz w:val="20"/>
          <w:szCs w:val="20"/>
          <w:rtl/>
        </w:rPr>
        <w:t xml:space="preserve">ג. </w:t>
      </w:r>
      <w:r>
        <w:rPr>
          <w:noProof w:val="0"/>
          <w:sz w:val="20"/>
          <w:szCs w:val="20"/>
          <w:u w:val="single"/>
          <w:rtl/>
        </w:rPr>
        <w:t>שכר עבודה</w:t>
      </w:r>
      <w:r>
        <w:rPr>
          <w:b w:val="0"/>
          <w:bCs w:val="0"/>
          <w:noProof w:val="0"/>
          <w:sz w:val="20"/>
          <w:szCs w:val="20"/>
          <w:rtl/>
        </w:rPr>
        <w:t xml:space="preserve"> (כמשמעותו בחוק הגנת השכר תשי"ח-1958):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1. לא יגבה עו"ד שכר טרחה העולה על הסכומים המפורטים להלן בכל הקשור בתביעות לשכר עבודה, דהיינו: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(א) 17.5% מהסכום הנתבע - לאחר דיון משפטי.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(ב) 12.5% מהסכום הנתבע - אם הושגה פשרה אחרי הגשת התביעה ולפני תחילת שמיעתה.</w:t>
      </w: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(ג) 10% מסכום התביעה אם הושגה פשרה לפני השגת התביעה.</w:t>
      </w:r>
    </w:p>
    <w:p w:rsidR="0048240D" w:rsidRDefault="0048240D">
      <w:pPr>
        <w:spacing w:line="360" w:lineRule="auto"/>
        <w:jc w:val="both"/>
        <w:rPr>
          <w:noProof w:val="0"/>
          <w:sz w:val="20"/>
          <w:szCs w:val="20"/>
          <w:rtl/>
        </w:rPr>
      </w:pPr>
    </w:p>
    <w:p w:rsidR="0048240D" w:rsidRDefault="0048240D">
      <w:pPr>
        <w:pStyle w:val="a3"/>
        <w:spacing w:line="360" w:lineRule="auto"/>
        <w:jc w:val="both"/>
        <w:rPr>
          <w:b w:val="0"/>
          <w:bCs w:val="0"/>
          <w:noProof w:val="0"/>
          <w:sz w:val="20"/>
          <w:szCs w:val="20"/>
          <w:rtl/>
        </w:rPr>
      </w:pPr>
      <w:r>
        <w:rPr>
          <w:b w:val="0"/>
          <w:bCs w:val="0"/>
          <w:noProof w:val="0"/>
          <w:sz w:val="20"/>
          <w:szCs w:val="20"/>
          <w:rtl/>
        </w:rPr>
        <w:t>2. תביעה על פיצויי הלנת שכר:</w:t>
      </w:r>
    </w:p>
    <w:p w:rsidR="0048240D" w:rsidRDefault="0048240D" w:rsidP="00A3237C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noProof w:val="0"/>
          <w:sz w:val="20"/>
          <w:szCs w:val="20"/>
          <w:rtl/>
        </w:rPr>
        <w:t>שכר טרחה מקסימלי שעורך דין יהיה רשאי לגבות מלקוחו יהיה בתנאים ובשיעורים כמפורט בסעיף 1 לעיל ובלבד שהשיעורים הנקובים לעיל ייגבו מהסכום הנפסק או מהסכום שהושג בפשרה לפי העניין.</w:t>
      </w:r>
    </w:p>
    <w:p w:rsidR="0048240D" w:rsidRDefault="0048240D">
      <w:pPr>
        <w:spacing w:line="360" w:lineRule="auto"/>
        <w:jc w:val="both"/>
        <w:rPr>
          <w:sz w:val="20"/>
          <w:szCs w:val="20"/>
        </w:rPr>
      </w:pPr>
    </w:p>
    <w:sectPr w:rsidR="0048240D" w:rsidSect="00086B79">
      <w:headerReference w:type="default" r:id="rId9"/>
      <w:footerReference w:type="even" r:id="rId10"/>
      <w:footerReference w:type="default" r:id="rId11"/>
      <w:endnotePr>
        <w:numFmt w:val="lowerLetter"/>
      </w:endnotePr>
      <w:pgSz w:w="11906" w:h="16838" w:code="9"/>
      <w:pgMar w:top="1134" w:right="1797" w:bottom="2268" w:left="992" w:header="720" w:footer="198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24"/>
      <w:cols w:num="2" w:sep="1" w:space="17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40D" w:rsidRDefault="0048240D">
      <w:r>
        <w:separator/>
      </w:r>
    </w:p>
  </w:endnote>
  <w:endnote w:type="continuationSeparator" w:id="0">
    <w:p w:rsidR="0048240D" w:rsidRDefault="0048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0D" w:rsidRDefault="007E650C">
    <w:pPr>
      <w:pStyle w:val="a7"/>
      <w:framePr w:wrap="around" w:vAnchor="text" w:hAnchor="margin" w:xAlign="center" w:y="1"/>
      <w:rPr>
        <w:rStyle w:val="a9"/>
        <w:rFonts w:cs="David"/>
        <w:noProof w:val="0"/>
        <w:rtl/>
      </w:rPr>
    </w:pPr>
    <w:r>
      <w:rPr>
        <w:rStyle w:val="a9"/>
        <w:rFonts w:cs="David"/>
      </w:rPr>
      <w:fldChar w:fldCharType="begin"/>
    </w:r>
    <w:r w:rsidR="0048240D"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end"/>
    </w:r>
  </w:p>
  <w:p w:rsidR="0048240D" w:rsidRDefault="0048240D">
    <w:pPr>
      <w:pStyle w:val="a7"/>
      <w:rPr>
        <w:noProof w:val="0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40D" w:rsidRDefault="005A0BB4" w:rsidP="009B1228">
    <w:pPr>
      <w:pStyle w:val="a7"/>
      <w:framePr w:wrap="around" w:vAnchor="text" w:hAnchor="margin" w:xAlign="center" w:y="1"/>
      <w:rPr>
        <w:rStyle w:val="a9"/>
        <w:rFonts w:cs="David"/>
        <w:noProof w:val="0"/>
        <w:color w:val="FFFFFF"/>
        <w:rtl/>
      </w:rPr>
    </w:pPr>
    <w:r>
      <w:rPr>
        <w:rStyle w:val="a9"/>
        <w:rFonts w:cs="David" w:hint="cs"/>
        <w:color w:val="FFFFFF"/>
        <w:rtl/>
      </w:rPr>
      <w:t>143</w:t>
    </w:r>
  </w:p>
  <w:tbl>
    <w:tblPr>
      <w:bidiVisual/>
      <w:tblW w:w="0" w:type="auto"/>
      <w:tblLook w:val="0000" w:firstRow="0" w:lastRow="0" w:firstColumn="0" w:lastColumn="0" w:noHBand="0" w:noVBand="0"/>
    </w:tblPr>
    <w:tblGrid>
      <w:gridCol w:w="9333"/>
    </w:tblGrid>
    <w:tr w:rsidR="0048240D" w:rsidTr="001A7B74">
      <w:trPr>
        <w:cantSplit/>
      </w:trPr>
      <w:tc>
        <w:tcPr>
          <w:tcW w:w="9333" w:type="dxa"/>
          <w:shd w:val="clear" w:color="auto" w:fill="000000"/>
        </w:tcPr>
        <w:p w:rsidR="0048240D" w:rsidRDefault="0048240D">
          <w:pPr>
            <w:pStyle w:val="a5"/>
            <w:jc w:val="right"/>
          </w:pPr>
          <w:r>
            <w:rPr>
              <w:b/>
              <w:bCs/>
              <w:noProof w:val="0"/>
              <w:color w:val="FFFFFF"/>
              <w:sz w:val="40"/>
              <w:szCs w:val="40"/>
              <w:rtl/>
            </w:rPr>
            <w:t xml:space="preserve">            </w:t>
          </w:r>
        </w:p>
      </w:tc>
    </w:tr>
  </w:tbl>
  <w:p w:rsidR="0048240D" w:rsidRDefault="0048240D">
    <w:pPr>
      <w:pStyle w:val="a7"/>
      <w:rPr>
        <w:noProof w:val="0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40D" w:rsidRDefault="0048240D">
      <w:r>
        <w:separator/>
      </w:r>
    </w:p>
  </w:footnote>
  <w:footnote w:type="continuationSeparator" w:id="0">
    <w:p w:rsidR="0048240D" w:rsidRDefault="00482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0" w:type="auto"/>
      <w:tblLook w:val="0000" w:firstRow="0" w:lastRow="0" w:firstColumn="0" w:lastColumn="0" w:noHBand="0" w:noVBand="0"/>
    </w:tblPr>
    <w:tblGrid>
      <w:gridCol w:w="8091"/>
      <w:gridCol w:w="1242"/>
    </w:tblGrid>
    <w:tr w:rsidR="0048240D" w:rsidTr="001A7B74">
      <w:tc>
        <w:tcPr>
          <w:tcW w:w="8091" w:type="dxa"/>
          <w:shd w:val="clear" w:color="auto" w:fill="000000"/>
          <w:vAlign w:val="center"/>
        </w:tcPr>
        <w:p w:rsidR="0048240D" w:rsidRDefault="0048240D">
          <w:pPr>
            <w:pStyle w:val="a5"/>
            <w:jc w:val="center"/>
            <w:rPr>
              <w:szCs w:val="32"/>
            </w:rPr>
          </w:pPr>
          <w:r>
            <w:rPr>
              <w:b/>
              <w:bCs/>
              <w:noProof w:val="0"/>
              <w:szCs w:val="32"/>
              <w:rtl/>
            </w:rPr>
            <w:t xml:space="preserve">                   תעריפים מקסימליים </w:t>
          </w:r>
        </w:p>
      </w:tc>
      <w:tc>
        <w:tcPr>
          <w:tcW w:w="1242" w:type="dxa"/>
          <w:shd w:val="clear" w:color="auto" w:fill="000000"/>
        </w:tcPr>
        <w:p w:rsidR="0048240D" w:rsidRDefault="008037D1">
          <w:pPr>
            <w:pStyle w:val="a5"/>
            <w:jc w:val="right"/>
          </w:pPr>
          <w:r>
            <w:rPr>
              <w:noProof w:val="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.2pt;height:31.8pt">
                <v:imagedata r:id="rId1" o:title=""/>
              </v:shape>
            </w:pict>
          </w:r>
        </w:p>
      </w:tc>
    </w:tr>
  </w:tbl>
  <w:p w:rsidR="0048240D" w:rsidRDefault="0048240D">
    <w:pPr>
      <w:pStyle w:val="a5"/>
      <w:rPr>
        <w:noProof w:val="0"/>
        <w:color w:val="FFFFFF"/>
        <w:szCs w:val="32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EF9"/>
    <w:multiLevelType w:val="hybridMultilevel"/>
    <w:tmpl w:val="B06EF44C"/>
    <w:lvl w:ilvl="0" w:tplc="8014265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BB309C6"/>
    <w:multiLevelType w:val="hybridMultilevel"/>
    <w:tmpl w:val="A14661FA"/>
    <w:lvl w:ilvl="0" w:tplc="F69A18C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1297A03"/>
    <w:multiLevelType w:val="hybridMultilevel"/>
    <w:tmpl w:val="2BC808DE"/>
    <w:lvl w:ilvl="0" w:tplc="7804D224">
      <w:start w:val="1"/>
      <w:numFmt w:val="decimal"/>
      <w:lvlText w:val="(%1)"/>
      <w:lvlJc w:val="left"/>
      <w:pPr>
        <w:tabs>
          <w:tab w:val="num" w:pos="405"/>
        </w:tabs>
        <w:ind w:left="40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  <w:rPr>
        <w:rFonts w:cs="Times New Roman"/>
      </w:rPr>
    </w:lvl>
  </w:abstractNum>
  <w:abstractNum w:abstractNumId="3">
    <w:nsid w:val="11BC7C62"/>
    <w:multiLevelType w:val="hybridMultilevel"/>
    <w:tmpl w:val="997A56B6"/>
    <w:lvl w:ilvl="0" w:tplc="B6D2303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9F33626"/>
    <w:multiLevelType w:val="hybridMultilevel"/>
    <w:tmpl w:val="188ABFD2"/>
    <w:lvl w:ilvl="0" w:tplc="CA9A11C6">
      <w:start w:val="1"/>
      <w:numFmt w:val="hebrew1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AFA25BA"/>
    <w:multiLevelType w:val="hybridMultilevel"/>
    <w:tmpl w:val="78E0BF7A"/>
    <w:lvl w:ilvl="0" w:tplc="E2E02E24">
      <w:start w:val="2"/>
      <w:numFmt w:val="hebrew1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  <w:szCs w:val="24"/>
      </w:rPr>
    </w:lvl>
    <w:lvl w:ilvl="1" w:tplc="531CADF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E0E15DE"/>
    <w:multiLevelType w:val="hybridMultilevel"/>
    <w:tmpl w:val="625E2976"/>
    <w:lvl w:ilvl="0" w:tplc="B8006AD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3BE4215"/>
    <w:multiLevelType w:val="hybridMultilevel"/>
    <w:tmpl w:val="F2183248"/>
    <w:lvl w:ilvl="0" w:tplc="FBAECEC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D8C5622"/>
    <w:multiLevelType w:val="hybridMultilevel"/>
    <w:tmpl w:val="C1D48FCE"/>
    <w:lvl w:ilvl="0" w:tplc="EBBAE982">
      <w:start w:val="1"/>
      <w:numFmt w:val="hebrew1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1A45237"/>
    <w:multiLevelType w:val="hybridMultilevel"/>
    <w:tmpl w:val="13786486"/>
    <w:lvl w:ilvl="0" w:tplc="5914EB36">
      <w:start w:val="1"/>
      <w:numFmt w:val="hebrew1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3792087"/>
    <w:multiLevelType w:val="hybridMultilevel"/>
    <w:tmpl w:val="D01A09E0"/>
    <w:lvl w:ilvl="0" w:tplc="88F236C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>
    <w:nsid w:val="57C15F20"/>
    <w:multiLevelType w:val="hybridMultilevel"/>
    <w:tmpl w:val="C6A09E10"/>
    <w:lvl w:ilvl="0" w:tplc="C31A38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2511AB8"/>
    <w:multiLevelType w:val="hybridMultilevel"/>
    <w:tmpl w:val="61F4282C"/>
    <w:lvl w:ilvl="0" w:tplc="8FC29512">
      <w:start w:val="1"/>
      <w:numFmt w:val="hebrew1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2B57F7D"/>
    <w:multiLevelType w:val="multilevel"/>
    <w:tmpl w:val="F46A3C6A"/>
    <w:lvl w:ilvl="0">
      <w:start w:val="1"/>
      <w:numFmt w:val="decimal"/>
      <w:suff w:val="nothing"/>
      <w:lvlText w:val="%1. "/>
      <w:lvlJc w:val="left"/>
      <w:pPr>
        <w:ind w:left="357" w:hanging="357"/>
      </w:pPr>
      <w:rPr>
        <w:rFonts w:cs="David" w:hint="default"/>
      </w:rPr>
    </w:lvl>
    <w:lvl w:ilvl="1">
      <w:start w:val="1"/>
      <w:numFmt w:val="hebrew1"/>
      <w:lvlText w:val="(%2)"/>
      <w:lvlJc w:val="left"/>
      <w:pPr>
        <w:tabs>
          <w:tab w:val="num" w:pos="720"/>
        </w:tabs>
        <w:ind w:left="720" w:hanging="363"/>
      </w:pPr>
      <w:rPr>
        <w:rFonts w:cs="Times New Roman" w:hint="default"/>
        <w:szCs w:val="24"/>
      </w:rPr>
    </w:lvl>
    <w:lvl w:ilvl="2">
      <w:start w:val="1"/>
      <w:numFmt w:val="decimal"/>
      <w:lvlText w:val="(%3)"/>
      <w:lvlJc w:val="left"/>
      <w:pPr>
        <w:tabs>
          <w:tab w:val="num" w:pos="1080"/>
        </w:tabs>
        <w:ind w:left="1077" w:hanging="357"/>
      </w:pPr>
      <w:rPr>
        <w:rFonts w:cs="Times New Roman" w:hint="default"/>
      </w:rPr>
    </w:lvl>
    <w:lvl w:ilvl="3">
      <w:numFmt w:val="decimal"/>
      <w:lvlRestart w:val="0"/>
      <w:lvlText w:val="(%4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>
    <w:nsid w:val="63063694"/>
    <w:multiLevelType w:val="hybridMultilevel"/>
    <w:tmpl w:val="BA2CCD50"/>
    <w:lvl w:ilvl="0" w:tplc="31CAA27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60346B9"/>
    <w:multiLevelType w:val="hybridMultilevel"/>
    <w:tmpl w:val="5C6E4C8C"/>
    <w:lvl w:ilvl="0" w:tplc="271CD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E702025"/>
    <w:multiLevelType w:val="hybridMultilevel"/>
    <w:tmpl w:val="CB728244"/>
    <w:lvl w:ilvl="0" w:tplc="CCB4B44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E370D082">
      <w:start w:val="1"/>
      <w:numFmt w:val="hebrew1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cs"/>
        <w:szCs w:val="24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4385D73"/>
    <w:multiLevelType w:val="hybridMultilevel"/>
    <w:tmpl w:val="B986D3FE"/>
    <w:lvl w:ilvl="0" w:tplc="794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7BB13ED"/>
    <w:multiLevelType w:val="hybridMultilevel"/>
    <w:tmpl w:val="96C6C2EE"/>
    <w:lvl w:ilvl="0" w:tplc="45E83B3A">
      <w:start w:val="1"/>
      <w:numFmt w:val="hebrew1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cs"/>
        <w:szCs w:val="24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14"/>
  </w:num>
  <w:num w:numId="6">
    <w:abstractNumId w:val="18"/>
  </w:num>
  <w:num w:numId="7">
    <w:abstractNumId w:val="12"/>
  </w:num>
  <w:num w:numId="8">
    <w:abstractNumId w:val="7"/>
  </w:num>
  <w:num w:numId="9">
    <w:abstractNumId w:val="11"/>
  </w:num>
  <w:num w:numId="10">
    <w:abstractNumId w:val="6"/>
  </w:num>
  <w:num w:numId="11">
    <w:abstractNumId w:val="3"/>
  </w:num>
  <w:num w:numId="12">
    <w:abstractNumId w:val="16"/>
  </w:num>
  <w:num w:numId="13">
    <w:abstractNumId w:val="15"/>
  </w:num>
  <w:num w:numId="14">
    <w:abstractNumId w:val="9"/>
  </w:num>
  <w:num w:numId="15">
    <w:abstractNumId w:val="1"/>
  </w:num>
  <w:num w:numId="16">
    <w:abstractNumId w:val="5"/>
  </w:num>
  <w:num w:numId="17">
    <w:abstractNumId w:val="8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numFmt w:val="lowerLetter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B74"/>
    <w:rsid w:val="00000D12"/>
    <w:rsid w:val="00086B79"/>
    <w:rsid w:val="000B378C"/>
    <w:rsid w:val="001A7B74"/>
    <w:rsid w:val="001E1039"/>
    <w:rsid w:val="00302CE8"/>
    <w:rsid w:val="00455288"/>
    <w:rsid w:val="0048240D"/>
    <w:rsid w:val="004B220F"/>
    <w:rsid w:val="005A0BB4"/>
    <w:rsid w:val="005F5DFE"/>
    <w:rsid w:val="00793AFD"/>
    <w:rsid w:val="007E650C"/>
    <w:rsid w:val="008037D1"/>
    <w:rsid w:val="008C0B45"/>
    <w:rsid w:val="009317C9"/>
    <w:rsid w:val="00943AE1"/>
    <w:rsid w:val="00953B37"/>
    <w:rsid w:val="009B1228"/>
    <w:rsid w:val="00A3237C"/>
    <w:rsid w:val="00AD31FA"/>
    <w:rsid w:val="00C36210"/>
    <w:rsid w:val="00CF1945"/>
    <w:rsid w:val="00E4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0C"/>
    <w:pPr>
      <w:bidi/>
    </w:pPr>
    <w:rPr>
      <w:rFonts w:cs="David"/>
      <w:noProof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rsid w:val="007E650C"/>
    <w:pPr>
      <w:keepNext/>
      <w:spacing w:line="360" w:lineRule="auto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rsid w:val="007E650C"/>
    <w:pPr>
      <w:keepNext/>
      <w:spacing w:line="360" w:lineRule="auto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7E650C"/>
    <w:pPr>
      <w:keepNext/>
      <w:jc w:val="center"/>
      <w:outlineLvl w:val="2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9"/>
    <w:qFormat/>
    <w:rsid w:val="007E650C"/>
    <w:pPr>
      <w:keepNext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7E650C"/>
    <w:pPr>
      <w:keepNext/>
      <w:spacing w:line="360" w:lineRule="auto"/>
      <w:jc w:val="both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7E650C"/>
    <w:pPr>
      <w:keepNext/>
      <w:jc w:val="both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7E650C"/>
    <w:pPr>
      <w:keepNext/>
      <w:ind w:left="93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9"/>
    <w:qFormat/>
    <w:rsid w:val="007E650C"/>
    <w:pPr>
      <w:keepNext/>
      <w:ind w:left="93"/>
      <w:outlineLvl w:val="7"/>
    </w:pPr>
    <w:rPr>
      <w:b/>
      <w:bCs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7E650C"/>
    <w:pPr>
      <w:keepNext/>
      <w:spacing w:line="360" w:lineRule="auto"/>
      <w:jc w:val="both"/>
      <w:outlineLvl w:val="8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1805"/>
    <w:rPr>
      <w:rFonts w:asciiTheme="majorHAnsi" w:eastAsiaTheme="majorEastAsia" w:hAnsiTheme="majorHAnsi" w:cstheme="majorBidi"/>
      <w:b/>
      <w:bCs/>
      <w:noProof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sid w:val="00FB1805"/>
    <w:rPr>
      <w:rFonts w:asciiTheme="majorHAnsi" w:eastAsiaTheme="majorEastAsia" w:hAnsiTheme="majorHAnsi" w:cstheme="majorBidi"/>
      <w:b/>
      <w:bCs/>
      <w:i/>
      <w:iCs/>
      <w:noProof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sid w:val="00FB1805"/>
    <w:rPr>
      <w:rFonts w:asciiTheme="majorHAnsi" w:eastAsiaTheme="majorEastAsia" w:hAnsiTheme="majorHAnsi" w:cstheme="majorBidi"/>
      <w:b/>
      <w:bCs/>
      <w:noProof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sid w:val="00FB1805"/>
    <w:rPr>
      <w:rFonts w:asciiTheme="minorHAnsi" w:eastAsiaTheme="minorEastAsia" w:hAnsiTheme="minorHAnsi" w:cstheme="minorBidi"/>
      <w:b/>
      <w:bCs/>
      <w:noProof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sid w:val="00FB1805"/>
    <w:rPr>
      <w:rFonts w:asciiTheme="minorHAnsi" w:eastAsiaTheme="minorEastAsia" w:hAnsiTheme="minorHAnsi" w:cstheme="minorBidi"/>
      <w:b/>
      <w:bCs/>
      <w:i/>
      <w:iCs/>
      <w:noProof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sid w:val="00FB1805"/>
    <w:rPr>
      <w:rFonts w:asciiTheme="minorHAnsi" w:eastAsiaTheme="minorEastAsia" w:hAnsiTheme="minorHAnsi" w:cstheme="minorBidi"/>
      <w:b/>
      <w:bCs/>
      <w:noProof/>
      <w:lang w:eastAsia="he-IL"/>
    </w:rPr>
  </w:style>
  <w:style w:type="character" w:customStyle="1" w:styleId="70">
    <w:name w:val="כותרת 7 תו"/>
    <w:basedOn w:val="a0"/>
    <w:link w:val="7"/>
    <w:uiPriority w:val="9"/>
    <w:semiHidden/>
    <w:rsid w:val="00FB1805"/>
    <w:rPr>
      <w:rFonts w:asciiTheme="minorHAnsi" w:eastAsiaTheme="minorEastAsia" w:hAnsiTheme="minorHAnsi" w:cstheme="minorBidi"/>
      <w:noProof/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sid w:val="00FB1805"/>
    <w:rPr>
      <w:rFonts w:asciiTheme="minorHAnsi" w:eastAsiaTheme="minorEastAsia" w:hAnsiTheme="minorHAnsi" w:cstheme="minorBidi"/>
      <w:i/>
      <w:iCs/>
      <w:noProof/>
      <w:sz w:val="24"/>
      <w:szCs w:val="24"/>
      <w:lang w:eastAsia="he-IL"/>
    </w:rPr>
  </w:style>
  <w:style w:type="character" w:customStyle="1" w:styleId="90">
    <w:name w:val="כותרת 9 תו"/>
    <w:basedOn w:val="a0"/>
    <w:link w:val="9"/>
    <w:uiPriority w:val="9"/>
    <w:semiHidden/>
    <w:rsid w:val="00FB1805"/>
    <w:rPr>
      <w:rFonts w:asciiTheme="majorHAnsi" w:eastAsiaTheme="majorEastAsia" w:hAnsiTheme="majorHAnsi" w:cstheme="majorBidi"/>
      <w:noProof/>
      <w:lang w:eastAsia="he-IL"/>
    </w:rPr>
  </w:style>
  <w:style w:type="paragraph" w:styleId="a3">
    <w:name w:val="Title"/>
    <w:basedOn w:val="a"/>
    <w:link w:val="a4"/>
    <w:uiPriority w:val="99"/>
    <w:qFormat/>
    <w:rsid w:val="007E650C"/>
    <w:pPr>
      <w:jc w:val="center"/>
    </w:pPr>
    <w:rPr>
      <w:b/>
      <w:bCs/>
      <w:sz w:val="32"/>
      <w:szCs w:val="32"/>
    </w:rPr>
  </w:style>
  <w:style w:type="character" w:customStyle="1" w:styleId="a4">
    <w:name w:val="כותרת טקסט תו"/>
    <w:basedOn w:val="a0"/>
    <w:link w:val="a3"/>
    <w:uiPriority w:val="10"/>
    <w:rsid w:val="00FB1805"/>
    <w:rPr>
      <w:rFonts w:asciiTheme="majorHAnsi" w:eastAsiaTheme="majorEastAsia" w:hAnsiTheme="majorHAnsi" w:cstheme="majorBidi"/>
      <w:b/>
      <w:bCs/>
      <w:noProof/>
      <w:kern w:val="28"/>
      <w:sz w:val="32"/>
      <w:szCs w:val="32"/>
      <w:lang w:eastAsia="he-IL"/>
    </w:rPr>
  </w:style>
  <w:style w:type="character" w:styleId="Hyperlink">
    <w:name w:val="Hyperlink"/>
    <w:basedOn w:val="a0"/>
    <w:uiPriority w:val="99"/>
    <w:semiHidden/>
    <w:rsid w:val="007E650C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rsid w:val="007E650C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sid w:val="00FB1805"/>
    <w:rPr>
      <w:rFonts w:cs="David"/>
      <w:noProof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semiHidden/>
    <w:rsid w:val="007E650C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sid w:val="00FB1805"/>
    <w:rPr>
      <w:rFonts w:cs="David"/>
      <w:noProof/>
      <w:sz w:val="24"/>
      <w:szCs w:val="24"/>
      <w:lang w:eastAsia="he-IL"/>
    </w:rPr>
  </w:style>
  <w:style w:type="character" w:styleId="a9">
    <w:name w:val="page number"/>
    <w:basedOn w:val="a0"/>
    <w:uiPriority w:val="99"/>
    <w:semiHidden/>
    <w:rsid w:val="007E650C"/>
    <w:rPr>
      <w:rFonts w:cs="Times New Roman"/>
    </w:rPr>
  </w:style>
  <w:style w:type="character" w:styleId="FollowedHyperlink">
    <w:name w:val="FollowedHyperlink"/>
    <w:basedOn w:val="a0"/>
    <w:uiPriority w:val="99"/>
    <w:semiHidden/>
    <w:rsid w:val="007E650C"/>
    <w:rPr>
      <w:color w:val="800080"/>
      <w:u w:val="single"/>
    </w:rPr>
  </w:style>
  <w:style w:type="paragraph" w:styleId="aa">
    <w:name w:val="Body Text Indent"/>
    <w:basedOn w:val="a"/>
    <w:link w:val="ab"/>
    <w:uiPriority w:val="99"/>
    <w:semiHidden/>
    <w:rsid w:val="007E650C"/>
    <w:pPr>
      <w:spacing w:line="360" w:lineRule="auto"/>
      <w:ind w:left="1701"/>
    </w:pPr>
    <w:rPr>
      <w:sz w:val="20"/>
      <w:szCs w:val="20"/>
    </w:rPr>
  </w:style>
  <w:style w:type="character" w:customStyle="1" w:styleId="ab">
    <w:name w:val="כניסה בגוף טקסט תו"/>
    <w:basedOn w:val="a0"/>
    <w:link w:val="aa"/>
    <w:uiPriority w:val="99"/>
    <w:semiHidden/>
    <w:rsid w:val="00FB1805"/>
    <w:rPr>
      <w:rFonts w:cs="David"/>
      <w:noProof/>
      <w:sz w:val="24"/>
      <w:szCs w:val="24"/>
      <w:lang w:eastAsia="he-IL"/>
    </w:rPr>
  </w:style>
  <w:style w:type="paragraph" w:styleId="ac">
    <w:name w:val="Body Text"/>
    <w:basedOn w:val="a"/>
    <w:link w:val="ad"/>
    <w:uiPriority w:val="99"/>
    <w:semiHidden/>
    <w:rsid w:val="007E650C"/>
    <w:rPr>
      <w:b/>
      <w:bCs/>
    </w:rPr>
  </w:style>
  <w:style w:type="character" w:customStyle="1" w:styleId="ad">
    <w:name w:val="גוף טקסט תו"/>
    <w:basedOn w:val="a0"/>
    <w:link w:val="ac"/>
    <w:uiPriority w:val="99"/>
    <w:semiHidden/>
    <w:rsid w:val="00FB1805"/>
    <w:rPr>
      <w:rFonts w:cs="David"/>
      <w:noProof/>
      <w:sz w:val="24"/>
      <w:szCs w:val="24"/>
      <w:lang w:eastAsia="he-IL"/>
    </w:rPr>
  </w:style>
  <w:style w:type="paragraph" w:styleId="ae">
    <w:name w:val="Subtitle"/>
    <w:basedOn w:val="a"/>
    <w:link w:val="af"/>
    <w:uiPriority w:val="99"/>
    <w:qFormat/>
    <w:rsid w:val="007E650C"/>
    <w:pPr>
      <w:spacing w:line="360" w:lineRule="auto"/>
      <w:jc w:val="both"/>
    </w:pPr>
    <w:rPr>
      <w:b/>
      <w:bCs/>
    </w:rPr>
  </w:style>
  <w:style w:type="character" w:customStyle="1" w:styleId="af">
    <w:name w:val="כותרת משנה תו"/>
    <w:basedOn w:val="a0"/>
    <w:link w:val="ae"/>
    <w:uiPriority w:val="11"/>
    <w:rsid w:val="00FB1805"/>
    <w:rPr>
      <w:rFonts w:asciiTheme="majorHAnsi" w:eastAsiaTheme="majorEastAsia" w:hAnsiTheme="majorHAnsi" w:cstheme="majorBidi"/>
      <w:noProof/>
      <w:sz w:val="24"/>
      <w:szCs w:val="24"/>
      <w:lang w:eastAsia="he-IL"/>
    </w:rPr>
  </w:style>
  <w:style w:type="paragraph" w:styleId="21">
    <w:name w:val="Body Text 2"/>
    <w:basedOn w:val="a"/>
    <w:link w:val="22"/>
    <w:uiPriority w:val="99"/>
    <w:semiHidden/>
    <w:rsid w:val="007E650C"/>
    <w:pPr>
      <w:spacing w:line="360" w:lineRule="auto"/>
      <w:jc w:val="right"/>
    </w:pPr>
    <w:rPr>
      <w:sz w:val="20"/>
      <w:szCs w:val="20"/>
    </w:rPr>
  </w:style>
  <w:style w:type="character" w:customStyle="1" w:styleId="22">
    <w:name w:val="גוף טקסט 2 תו"/>
    <w:basedOn w:val="a0"/>
    <w:link w:val="21"/>
    <w:uiPriority w:val="99"/>
    <w:semiHidden/>
    <w:rsid w:val="00FB1805"/>
    <w:rPr>
      <w:rFonts w:cs="David"/>
      <w:noProof/>
      <w:sz w:val="24"/>
      <w:szCs w:val="24"/>
      <w:lang w:eastAsia="he-IL"/>
    </w:rPr>
  </w:style>
  <w:style w:type="paragraph" w:styleId="31">
    <w:name w:val="Body Text 3"/>
    <w:basedOn w:val="a"/>
    <w:link w:val="32"/>
    <w:uiPriority w:val="99"/>
    <w:semiHidden/>
    <w:rsid w:val="007E650C"/>
    <w:pPr>
      <w:spacing w:line="360" w:lineRule="auto"/>
      <w:jc w:val="center"/>
    </w:pPr>
  </w:style>
  <w:style w:type="character" w:customStyle="1" w:styleId="32">
    <w:name w:val="גוף טקסט 3 תו"/>
    <w:basedOn w:val="a0"/>
    <w:link w:val="31"/>
    <w:uiPriority w:val="99"/>
    <w:semiHidden/>
    <w:rsid w:val="00FB1805"/>
    <w:rPr>
      <w:rFonts w:cs="David"/>
      <w:noProof/>
      <w:sz w:val="16"/>
      <w:szCs w:val="16"/>
      <w:lang w:eastAsia="he-IL"/>
    </w:rPr>
  </w:style>
  <w:style w:type="paragraph" w:styleId="af0">
    <w:name w:val="footnote text"/>
    <w:basedOn w:val="a"/>
    <w:link w:val="af1"/>
    <w:uiPriority w:val="99"/>
    <w:semiHidden/>
    <w:rsid w:val="007E650C"/>
    <w:rPr>
      <w:sz w:val="20"/>
      <w:szCs w:val="20"/>
    </w:rPr>
  </w:style>
  <w:style w:type="character" w:customStyle="1" w:styleId="af1">
    <w:name w:val="טקסט הערת שוליים תו"/>
    <w:basedOn w:val="a0"/>
    <w:link w:val="af0"/>
    <w:uiPriority w:val="99"/>
    <w:semiHidden/>
    <w:rsid w:val="00FB1805"/>
    <w:rPr>
      <w:rFonts w:cs="David"/>
      <w:noProof/>
      <w:sz w:val="20"/>
      <w:szCs w:val="20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0362B-94BF-4DA5-AD3B-23BAFF0C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הנהלת בתי המשפט</vt:lpstr>
    </vt:vector>
  </TitlesOfParts>
  <Company>The Israel Bar Publshing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הנהלת בתי המשפט</dc:title>
  <dc:creator>Hila</dc:creator>
  <cp:lastModifiedBy>גלית ענתר-לרון</cp:lastModifiedBy>
  <cp:revision>21</cp:revision>
  <cp:lastPrinted>2017-07-13T09:35:00Z</cp:lastPrinted>
  <dcterms:created xsi:type="dcterms:W3CDTF">2012-05-06T10:09:00Z</dcterms:created>
  <dcterms:modified xsi:type="dcterms:W3CDTF">2017-07-13T09:35:00Z</dcterms:modified>
</cp:coreProperties>
</file>