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287F" w14:textId="6F056707" w:rsidR="006E4255" w:rsidRDefault="00ED72D3" w:rsidP="00A2071E">
      <w:pPr>
        <w:spacing w:after="60"/>
        <w:ind w:left="720" w:hanging="360"/>
        <w:jc w:val="center"/>
        <w:rPr>
          <w:b/>
          <w:bCs/>
          <w:color w:val="000000" w:themeColor="text1"/>
        </w:rPr>
      </w:pPr>
      <w:r w:rsidRPr="006E4255">
        <w:rPr>
          <w:b/>
          <w:bCs/>
          <w:color w:val="000000" w:themeColor="text1"/>
        </w:rPr>
        <w:t xml:space="preserve">NCEE </w:t>
      </w:r>
      <w:r w:rsidR="006E4255" w:rsidRPr="006E4255">
        <w:rPr>
          <w:b/>
          <w:bCs/>
          <w:color w:val="000000" w:themeColor="text1"/>
        </w:rPr>
        <w:t>Checklist for Developing Research Proposals</w:t>
      </w:r>
    </w:p>
    <w:p w14:paraId="0415C601" w14:textId="77777777" w:rsidR="00A2071E" w:rsidRDefault="00A2071E" w:rsidP="00A2071E">
      <w:pPr>
        <w:spacing w:after="0"/>
        <w:ind w:left="720" w:hanging="360"/>
        <w:jc w:val="center"/>
        <w:rPr>
          <w:color w:val="000000" w:themeColor="text1"/>
        </w:rPr>
      </w:pPr>
    </w:p>
    <w:p w14:paraId="249B1F36" w14:textId="2B99949F" w:rsidR="000A0D05" w:rsidRPr="00F809B5" w:rsidRDefault="000A0D05" w:rsidP="006E4255">
      <w:pPr>
        <w:pStyle w:val="ListParagraph"/>
        <w:numPr>
          <w:ilvl w:val="0"/>
          <w:numId w:val="10"/>
        </w:numPr>
        <w:spacing w:after="120"/>
        <w:rPr>
          <w:rFonts w:eastAsia="Times New Roman"/>
        </w:rPr>
      </w:pPr>
      <w:r w:rsidRPr="00ED72D3">
        <w:rPr>
          <w:rFonts w:eastAsia="Times New Roman"/>
          <w:b/>
          <w:bCs/>
        </w:rPr>
        <w:t>Title</w:t>
      </w:r>
      <w:r w:rsidR="00615BAC">
        <w:rPr>
          <w:rFonts w:eastAsia="Times New Roman"/>
          <w:b/>
          <w:bCs/>
        </w:rPr>
        <w:t>:</w:t>
      </w:r>
      <w:r w:rsidR="00B53B72">
        <w:rPr>
          <w:rFonts w:eastAsia="Times New Roman"/>
          <w:b/>
          <w:bCs/>
        </w:rPr>
        <w:t xml:space="preserve"> </w:t>
      </w:r>
      <w:r w:rsidR="00B53B72" w:rsidRPr="00B53B72">
        <w:rPr>
          <w:rFonts w:eastAsia="Times New Roman"/>
        </w:rPr>
        <w:t>The Implications of Water System Service Area Accuracy</w:t>
      </w:r>
      <w:r w:rsidR="00B53B72">
        <w:rPr>
          <w:rFonts w:eastAsia="Times New Roman"/>
          <w:b/>
          <w:bCs/>
        </w:rPr>
        <w:t xml:space="preserve"> </w:t>
      </w:r>
      <w:r w:rsidR="00B53B72">
        <w:rPr>
          <w:rFonts w:eastAsia="Times New Roman"/>
        </w:rPr>
        <w:t xml:space="preserve">for Environmental Justice Analysis in Drinking Water </w:t>
      </w:r>
    </w:p>
    <w:p w14:paraId="6E09222C" w14:textId="307103CD" w:rsidR="000A0D05" w:rsidRPr="00F809B5" w:rsidRDefault="000A0D05" w:rsidP="006743EC">
      <w:pPr>
        <w:pStyle w:val="ListParagraph"/>
        <w:numPr>
          <w:ilvl w:val="0"/>
          <w:numId w:val="10"/>
        </w:numPr>
        <w:spacing w:before="240" w:after="60"/>
        <w:rPr>
          <w:rFonts w:eastAsia="Times New Roman"/>
        </w:rPr>
      </w:pPr>
      <w:r w:rsidRPr="00ED72D3">
        <w:rPr>
          <w:rFonts w:eastAsia="Times New Roman"/>
          <w:b/>
          <w:bCs/>
        </w:rPr>
        <w:t>Authors</w:t>
      </w:r>
      <w:r w:rsidR="00613363" w:rsidRPr="00ED72D3">
        <w:rPr>
          <w:rFonts w:eastAsia="Times New Roman"/>
          <w:b/>
          <w:bCs/>
        </w:rPr>
        <w:t xml:space="preserve"> </w:t>
      </w:r>
      <w:r w:rsidR="00BD31AA" w:rsidRPr="00ED72D3">
        <w:rPr>
          <w:rFonts w:eastAsia="Times New Roman"/>
          <w:b/>
          <w:bCs/>
        </w:rPr>
        <w:t>and Affiliations</w:t>
      </w:r>
    </w:p>
    <w:p w14:paraId="6F70DDBB" w14:textId="2F7E1875" w:rsidR="000A0D05" w:rsidRDefault="000A0D05" w:rsidP="007D731A">
      <w:pPr>
        <w:pStyle w:val="ListParagraph"/>
        <w:numPr>
          <w:ilvl w:val="0"/>
          <w:numId w:val="11"/>
        </w:numPr>
        <w:spacing w:after="60"/>
        <w:rPr>
          <w:rFonts w:eastAsia="Times New Roman"/>
        </w:rPr>
      </w:pPr>
      <w:r>
        <w:rPr>
          <w:rFonts w:eastAsia="Times New Roman"/>
        </w:rPr>
        <w:t>NCEE authors</w:t>
      </w:r>
      <w:r w:rsidR="00615BAC">
        <w:rPr>
          <w:rFonts w:eastAsia="Times New Roman"/>
        </w:rPr>
        <w:t>:</w:t>
      </w:r>
    </w:p>
    <w:p w14:paraId="137D1B3F" w14:textId="7CDFA4BB" w:rsidR="00615BAC" w:rsidRDefault="00615BAC" w:rsidP="00615BAC">
      <w:pPr>
        <w:pStyle w:val="ListParagraph"/>
        <w:numPr>
          <w:ilvl w:val="1"/>
          <w:numId w:val="11"/>
        </w:numPr>
        <w:spacing w:after="60"/>
        <w:rPr>
          <w:rFonts w:eastAsia="Times New Roman"/>
        </w:rPr>
      </w:pPr>
      <w:r>
        <w:rPr>
          <w:rFonts w:eastAsia="Times New Roman"/>
        </w:rPr>
        <w:t>Wes Austin</w:t>
      </w:r>
    </w:p>
    <w:p w14:paraId="57F73090" w14:textId="5975EC5E" w:rsidR="000A0D05" w:rsidRDefault="000A0D05" w:rsidP="007D731A">
      <w:pPr>
        <w:pStyle w:val="ListParagraph"/>
        <w:numPr>
          <w:ilvl w:val="0"/>
          <w:numId w:val="11"/>
        </w:numPr>
        <w:spacing w:after="60"/>
        <w:rPr>
          <w:rFonts w:eastAsia="Times New Roman"/>
        </w:rPr>
      </w:pPr>
      <w:r>
        <w:rPr>
          <w:rFonts w:eastAsia="Times New Roman"/>
        </w:rPr>
        <w:t>Other EPA authors</w:t>
      </w:r>
    </w:p>
    <w:p w14:paraId="1BF9C311" w14:textId="1050C5D9" w:rsidR="00615BAC" w:rsidRDefault="00615BAC" w:rsidP="00615BAC">
      <w:pPr>
        <w:pStyle w:val="ListParagraph"/>
        <w:numPr>
          <w:ilvl w:val="1"/>
          <w:numId w:val="11"/>
        </w:numPr>
        <w:spacing w:after="60"/>
        <w:rPr>
          <w:rFonts w:eastAsia="Times New Roman"/>
        </w:rPr>
      </w:pPr>
      <w:r>
        <w:rPr>
          <w:rFonts w:eastAsia="Times New Roman"/>
        </w:rPr>
        <w:t>NA</w:t>
      </w:r>
    </w:p>
    <w:p w14:paraId="410EF83A" w14:textId="05C2BDFF" w:rsidR="00613363" w:rsidRDefault="000A0D05" w:rsidP="006E4255">
      <w:pPr>
        <w:pStyle w:val="ListParagraph"/>
        <w:numPr>
          <w:ilvl w:val="0"/>
          <w:numId w:val="11"/>
        </w:numPr>
        <w:spacing w:after="120"/>
        <w:rPr>
          <w:rFonts w:eastAsia="Times New Roman"/>
        </w:rPr>
      </w:pPr>
      <w:r>
        <w:rPr>
          <w:rFonts w:eastAsia="Times New Roman"/>
        </w:rPr>
        <w:t>External authors</w:t>
      </w:r>
    </w:p>
    <w:p w14:paraId="1AFFA0E7" w14:textId="74972B8C" w:rsidR="00615BAC" w:rsidRPr="00613363" w:rsidRDefault="00B53B72" w:rsidP="00615BAC">
      <w:pPr>
        <w:pStyle w:val="ListParagraph"/>
        <w:numPr>
          <w:ilvl w:val="1"/>
          <w:numId w:val="11"/>
        </w:numPr>
        <w:spacing w:after="120"/>
        <w:rPr>
          <w:rFonts w:eastAsia="Times New Roman"/>
        </w:rPr>
      </w:pPr>
      <w:r>
        <w:rPr>
          <w:rFonts w:eastAsia="Times New Roman"/>
        </w:rPr>
        <w:t>AR El-Khattabi</w:t>
      </w:r>
      <w:r w:rsidR="000428FF">
        <w:rPr>
          <w:rFonts w:eastAsia="Times New Roman"/>
        </w:rPr>
        <w:t xml:space="preserve">, North Carolina Environmental Finance Center </w:t>
      </w:r>
    </w:p>
    <w:p w14:paraId="50A9872A" w14:textId="6C9D4120" w:rsidR="00FA16DA" w:rsidRPr="00FA16DA" w:rsidRDefault="00613363" w:rsidP="00FA16DA">
      <w:pPr>
        <w:pStyle w:val="ListParagraph"/>
        <w:numPr>
          <w:ilvl w:val="0"/>
          <w:numId w:val="10"/>
        </w:numPr>
        <w:spacing w:before="240"/>
        <w:jc w:val="both"/>
        <w:rPr>
          <w:rFonts w:eastAsia="Times New Roman"/>
        </w:rPr>
      </w:pPr>
      <w:r w:rsidRPr="00ED72D3">
        <w:rPr>
          <w:rFonts w:eastAsia="Times New Roman"/>
          <w:b/>
          <w:bCs/>
        </w:rPr>
        <w:t>Abstract</w:t>
      </w:r>
      <w:r w:rsidR="00615BAC">
        <w:rPr>
          <w:rFonts w:eastAsia="Times New Roman"/>
          <w:b/>
          <w:bCs/>
        </w:rPr>
        <w:t xml:space="preserve">: </w:t>
      </w:r>
      <w:r w:rsidR="004D6F30">
        <w:rPr>
          <w:rFonts w:eastAsia="Times New Roman"/>
        </w:rPr>
        <w:t>A p</w:t>
      </w:r>
      <w:r w:rsidR="00E20A61">
        <w:rPr>
          <w:rFonts w:eastAsia="Times New Roman"/>
        </w:rPr>
        <w:t xml:space="preserve">ublic water system (PWS) service area </w:t>
      </w:r>
      <w:r w:rsidR="004D6F30">
        <w:rPr>
          <w:rFonts w:eastAsia="Times New Roman"/>
        </w:rPr>
        <w:t>is</w:t>
      </w:r>
      <w:r w:rsidR="00E20A61">
        <w:rPr>
          <w:rFonts w:eastAsia="Times New Roman"/>
        </w:rPr>
        <w:t xml:space="preserve"> the geographic extent of a drinking water system’s customer base. </w:t>
      </w:r>
      <w:r w:rsidR="00412A41">
        <w:rPr>
          <w:rFonts w:eastAsia="Times New Roman"/>
        </w:rPr>
        <w:t xml:space="preserve">Service areas have a wide variety of applications </w:t>
      </w:r>
      <w:r w:rsidR="006A5663">
        <w:rPr>
          <w:rFonts w:eastAsia="Times New Roman"/>
        </w:rPr>
        <w:t xml:space="preserve">for non-profits, </w:t>
      </w:r>
      <w:r w:rsidR="00412A41">
        <w:rPr>
          <w:rFonts w:eastAsia="Times New Roman"/>
        </w:rPr>
        <w:t>in academia</w:t>
      </w:r>
      <w:r w:rsidR="006A5663">
        <w:rPr>
          <w:rFonts w:eastAsia="Times New Roman"/>
        </w:rPr>
        <w:t>,</w:t>
      </w:r>
      <w:r w:rsidR="00412A41">
        <w:rPr>
          <w:rFonts w:eastAsia="Times New Roman"/>
        </w:rPr>
        <w:t xml:space="preserve"> and </w:t>
      </w:r>
      <w:r w:rsidR="006A5663">
        <w:rPr>
          <w:rFonts w:eastAsia="Times New Roman"/>
        </w:rPr>
        <w:t xml:space="preserve">in </w:t>
      </w:r>
      <w:r w:rsidR="00412A41">
        <w:rPr>
          <w:rFonts w:eastAsia="Times New Roman"/>
        </w:rPr>
        <w:t>government</w:t>
      </w:r>
      <w:r w:rsidR="006A5663">
        <w:rPr>
          <w:rFonts w:eastAsia="Times New Roman"/>
        </w:rPr>
        <w:t xml:space="preserve">, </w:t>
      </w:r>
      <w:r w:rsidR="00BD5580">
        <w:rPr>
          <w:rFonts w:eastAsia="Times New Roman"/>
        </w:rPr>
        <w:t>and for this reason m</w:t>
      </w:r>
      <w:r w:rsidR="006911A0">
        <w:rPr>
          <w:rFonts w:eastAsia="Times New Roman"/>
        </w:rPr>
        <w:t>any</w:t>
      </w:r>
      <w:r w:rsidR="00412A41">
        <w:rPr>
          <w:rFonts w:eastAsia="Times New Roman"/>
        </w:rPr>
        <w:t xml:space="preserve"> advances have been </w:t>
      </w:r>
      <w:r w:rsidR="00035E07" w:rsidRPr="00412A41">
        <w:rPr>
          <w:rFonts w:eastAsia="Times New Roman"/>
        </w:rPr>
        <w:t>made in the collection, estimation, and modelling of service areas</w:t>
      </w:r>
      <w:r w:rsidR="00412A41">
        <w:rPr>
          <w:rFonts w:eastAsia="Times New Roman"/>
        </w:rPr>
        <w:t xml:space="preserve"> over recent years</w:t>
      </w:r>
      <w:r w:rsidR="00035E07" w:rsidRPr="00412A41">
        <w:rPr>
          <w:rFonts w:eastAsia="Times New Roman"/>
        </w:rPr>
        <w:t>.</w:t>
      </w:r>
      <w:r w:rsidR="00573416">
        <w:rPr>
          <w:rFonts w:eastAsia="Times New Roman"/>
        </w:rPr>
        <w:t xml:space="preserve"> </w:t>
      </w:r>
      <w:r w:rsidR="00BD5580">
        <w:rPr>
          <w:rFonts w:eastAsia="Times New Roman"/>
        </w:rPr>
        <w:t xml:space="preserve">Despite these advances, </w:t>
      </w:r>
      <w:r w:rsidR="00640783">
        <w:rPr>
          <w:rFonts w:eastAsia="Times New Roman"/>
        </w:rPr>
        <w:t xml:space="preserve">there still does not exist a nationally consistent and complete spatial dataset of all PWS service areas. </w:t>
      </w:r>
      <w:r w:rsidR="00F42882">
        <w:rPr>
          <w:rFonts w:eastAsia="Times New Roman"/>
        </w:rPr>
        <w:t xml:space="preserve">Moreover, to date there has been minimal published systematic testing of the implications of </w:t>
      </w:r>
      <w:r w:rsidR="00D66056">
        <w:rPr>
          <w:rFonts w:eastAsia="Times New Roman"/>
        </w:rPr>
        <w:t xml:space="preserve">employing distinct </w:t>
      </w:r>
      <w:r w:rsidR="00F42882">
        <w:rPr>
          <w:rFonts w:eastAsia="Times New Roman"/>
        </w:rPr>
        <w:t>service area</w:t>
      </w:r>
      <w:r w:rsidR="00D66056">
        <w:rPr>
          <w:rFonts w:eastAsia="Times New Roman"/>
        </w:rPr>
        <w:t xml:space="preserve"> </w:t>
      </w:r>
      <w:r w:rsidR="008F1399">
        <w:rPr>
          <w:rFonts w:eastAsia="Times New Roman"/>
        </w:rPr>
        <w:t>boundary types</w:t>
      </w:r>
      <w:r w:rsidR="00D66056">
        <w:rPr>
          <w:rFonts w:eastAsia="Times New Roman"/>
        </w:rPr>
        <w:t>. This paper aims to fill this gap by summar</w:t>
      </w:r>
      <w:r w:rsidR="008F1399">
        <w:rPr>
          <w:rFonts w:eastAsia="Times New Roman"/>
        </w:rPr>
        <w:t xml:space="preserve">izing a set of environmental justice indicators </w:t>
      </w:r>
      <w:r w:rsidR="00AE60B2">
        <w:rPr>
          <w:rFonts w:eastAsia="Times New Roman"/>
        </w:rPr>
        <w:t xml:space="preserve">in drinking water across </w:t>
      </w:r>
      <w:r w:rsidR="00360F79">
        <w:rPr>
          <w:rFonts w:eastAsia="Times New Roman"/>
        </w:rPr>
        <w:t xml:space="preserve">seven distinct methods for assigning service areas. These methods include assignment of county polygons, </w:t>
      </w:r>
      <w:proofErr w:type="spellStart"/>
      <w:r w:rsidR="00360F79">
        <w:rPr>
          <w:rFonts w:eastAsia="Times New Roman"/>
        </w:rPr>
        <w:t>zipcodes</w:t>
      </w:r>
      <w:proofErr w:type="spellEnd"/>
      <w:r w:rsidR="00360F79">
        <w:rPr>
          <w:rFonts w:eastAsia="Times New Roman"/>
        </w:rPr>
        <w:t xml:space="preserve"> served, </w:t>
      </w:r>
      <w:r w:rsidR="00CA285D">
        <w:rPr>
          <w:rFonts w:eastAsia="Times New Roman"/>
        </w:rPr>
        <w:t xml:space="preserve">four combinations of EPIC/SimpleLab tiered data, and the Hall &amp; Murray boundaries. </w:t>
      </w:r>
      <w:r w:rsidR="00343558">
        <w:rPr>
          <w:rFonts w:eastAsia="Times New Roman"/>
        </w:rPr>
        <w:t xml:space="preserve">While it is generally understood that different service area assignment methods have varying accuracy, </w:t>
      </w:r>
      <w:r w:rsidR="00D85A98">
        <w:rPr>
          <w:rFonts w:eastAsia="Times New Roman"/>
        </w:rPr>
        <w:t>it is not yet known how significant this accuracy may be for the conclusions of environmental justice analysis</w:t>
      </w:r>
      <w:r w:rsidR="000428FF">
        <w:rPr>
          <w:rFonts w:eastAsia="Times New Roman"/>
        </w:rPr>
        <w:t>. As such, this paper fills a critical gap in our understanding of the importance of collecting service areas and producing a high-</w:t>
      </w:r>
      <w:r w:rsidR="0050005D">
        <w:rPr>
          <w:rFonts w:eastAsia="Times New Roman"/>
        </w:rPr>
        <w:t xml:space="preserve">quality nationally consistent geodatabase. </w:t>
      </w:r>
    </w:p>
    <w:p w14:paraId="4162F6BC" w14:textId="53FEE3D7" w:rsidR="002B6D46" w:rsidRPr="00BD244A" w:rsidRDefault="00CD6A55" w:rsidP="00EA5F78">
      <w:pPr>
        <w:pStyle w:val="ListParagraph"/>
        <w:numPr>
          <w:ilvl w:val="0"/>
          <w:numId w:val="10"/>
        </w:numPr>
        <w:spacing w:before="240" w:after="60"/>
        <w:rPr>
          <w:rFonts w:eastAsia="Times New Roman"/>
          <w:u w:val="single"/>
        </w:rPr>
      </w:pPr>
      <w:r w:rsidRPr="00ED72D3">
        <w:rPr>
          <w:rFonts w:eastAsia="Times New Roman"/>
          <w:b/>
          <w:bCs/>
        </w:rPr>
        <w:t xml:space="preserve">Expected </w:t>
      </w:r>
      <w:r w:rsidR="0067619D" w:rsidRPr="00ED72D3">
        <w:rPr>
          <w:rFonts w:eastAsia="Times New Roman"/>
          <w:b/>
          <w:bCs/>
        </w:rPr>
        <w:t>Outputs</w:t>
      </w:r>
      <w:r w:rsidR="0067619D" w:rsidRPr="00BD244A">
        <w:rPr>
          <w:rFonts w:eastAsia="Times New Roman"/>
          <w:u w:val="single"/>
        </w:rPr>
        <w:t xml:space="preserve"> </w:t>
      </w:r>
      <w:r w:rsidR="0067619D" w:rsidRPr="00BD244A">
        <w:rPr>
          <w:rFonts w:eastAsia="Times New Roman"/>
        </w:rPr>
        <w:t>(</w:t>
      </w:r>
      <w:proofErr w:type="gramStart"/>
      <w:r w:rsidR="0067619D" w:rsidRPr="00BD244A">
        <w:rPr>
          <w:rFonts w:eastAsia="Times New Roman"/>
        </w:rPr>
        <w:t>e.g.</w:t>
      </w:r>
      <w:proofErr w:type="gramEnd"/>
      <w:r w:rsidR="0067619D" w:rsidRPr="00BD244A">
        <w:rPr>
          <w:rFonts w:eastAsia="Times New Roman"/>
        </w:rPr>
        <w:t xml:space="preserve"> article,</w:t>
      </w:r>
      <w:r w:rsidR="007A6D42">
        <w:rPr>
          <w:rFonts w:eastAsia="Times New Roman"/>
        </w:rPr>
        <w:t xml:space="preserve"> external</w:t>
      </w:r>
      <w:r w:rsidR="0067619D" w:rsidRPr="00BD244A">
        <w:rPr>
          <w:rFonts w:eastAsia="Times New Roman"/>
        </w:rPr>
        <w:t xml:space="preserve"> presentation, database)</w:t>
      </w:r>
    </w:p>
    <w:p w14:paraId="738281D0" w14:textId="568AF9B5" w:rsidR="00615BAC" w:rsidRDefault="00615BAC" w:rsidP="0052258A">
      <w:pPr>
        <w:pStyle w:val="ListParagraph"/>
        <w:numPr>
          <w:ilvl w:val="1"/>
          <w:numId w:val="10"/>
        </w:numPr>
        <w:spacing w:after="120"/>
        <w:rPr>
          <w:rFonts w:eastAsia="Times New Roman"/>
        </w:rPr>
      </w:pPr>
      <w:r>
        <w:rPr>
          <w:rFonts w:eastAsia="Times New Roman"/>
        </w:rPr>
        <w:t xml:space="preserve">NCEE Working Paper Series (target: </w:t>
      </w:r>
      <w:r w:rsidR="00B53B72">
        <w:rPr>
          <w:rFonts w:eastAsia="Times New Roman"/>
        </w:rPr>
        <w:t>8</w:t>
      </w:r>
      <w:r>
        <w:rPr>
          <w:rFonts w:eastAsia="Times New Roman"/>
        </w:rPr>
        <w:t>/2023)</w:t>
      </w:r>
    </w:p>
    <w:p w14:paraId="605825D3" w14:textId="67D86BBF" w:rsidR="00615BAC" w:rsidRDefault="00615BAC" w:rsidP="0052258A">
      <w:pPr>
        <w:pStyle w:val="ListParagraph"/>
        <w:numPr>
          <w:ilvl w:val="1"/>
          <w:numId w:val="10"/>
        </w:numPr>
        <w:spacing w:after="120"/>
        <w:rPr>
          <w:rFonts w:eastAsia="Times New Roman"/>
        </w:rPr>
      </w:pPr>
      <w:r>
        <w:rPr>
          <w:rFonts w:eastAsia="Times New Roman"/>
        </w:rPr>
        <w:t>Journal Article (</w:t>
      </w:r>
      <w:r w:rsidR="0050005D">
        <w:rPr>
          <w:rFonts w:eastAsia="Times New Roman"/>
        </w:rPr>
        <w:t xml:space="preserve">target: </w:t>
      </w:r>
      <w:r w:rsidR="00B53B72">
        <w:rPr>
          <w:rFonts w:eastAsia="Times New Roman"/>
        </w:rPr>
        <w:t>12</w:t>
      </w:r>
      <w:r>
        <w:rPr>
          <w:rFonts w:eastAsia="Times New Roman"/>
        </w:rPr>
        <w:t>/</w:t>
      </w:r>
      <w:r w:rsidR="00B53B72">
        <w:rPr>
          <w:rFonts w:eastAsia="Times New Roman"/>
        </w:rPr>
        <w:t>2023</w:t>
      </w:r>
      <w:r>
        <w:rPr>
          <w:rFonts w:eastAsia="Times New Roman"/>
        </w:rPr>
        <w:t>)</w:t>
      </w:r>
    </w:p>
    <w:p w14:paraId="3BE101D2" w14:textId="1C68520F" w:rsidR="000A0D05" w:rsidRDefault="00BD31AA" w:rsidP="00EA5F78">
      <w:pPr>
        <w:pStyle w:val="ListParagraph"/>
        <w:numPr>
          <w:ilvl w:val="0"/>
          <w:numId w:val="10"/>
        </w:numPr>
        <w:spacing w:before="240" w:after="60"/>
        <w:rPr>
          <w:rFonts w:eastAsia="Times New Roman"/>
        </w:rPr>
      </w:pPr>
      <w:r w:rsidRPr="00ED72D3">
        <w:rPr>
          <w:rFonts w:eastAsia="Times New Roman"/>
          <w:b/>
          <w:bCs/>
        </w:rPr>
        <w:t xml:space="preserve">Expected </w:t>
      </w:r>
      <w:r w:rsidR="000A0D05" w:rsidRPr="00ED72D3">
        <w:rPr>
          <w:rFonts w:eastAsia="Times New Roman"/>
          <w:b/>
          <w:bCs/>
        </w:rPr>
        <w:t xml:space="preserve">Resource </w:t>
      </w:r>
      <w:r w:rsidR="002B6D46" w:rsidRPr="00ED72D3">
        <w:rPr>
          <w:rFonts w:eastAsia="Times New Roman"/>
          <w:b/>
          <w:bCs/>
        </w:rPr>
        <w:t>R</w:t>
      </w:r>
      <w:r w:rsidR="000A0D05" w:rsidRPr="00ED72D3">
        <w:rPr>
          <w:rFonts w:eastAsia="Times New Roman"/>
          <w:b/>
          <w:bCs/>
        </w:rPr>
        <w:t>equests</w:t>
      </w:r>
      <w:r w:rsidR="000A0D05">
        <w:rPr>
          <w:rFonts w:eastAsia="Times New Roman"/>
        </w:rPr>
        <w:t xml:space="preserve"> </w:t>
      </w:r>
      <w:r w:rsidR="00B23040">
        <w:rPr>
          <w:rFonts w:eastAsia="Times New Roman"/>
        </w:rPr>
        <w:t xml:space="preserve">- </w:t>
      </w:r>
      <w:r w:rsidR="007A6D42">
        <w:rPr>
          <w:rFonts w:eastAsia="Times New Roman"/>
        </w:rPr>
        <w:t>I</w:t>
      </w:r>
      <w:r w:rsidR="000A0D05">
        <w:rPr>
          <w:rFonts w:eastAsia="Times New Roman"/>
        </w:rPr>
        <w:t xml:space="preserve">ndicate any </w:t>
      </w:r>
      <w:r>
        <w:rPr>
          <w:rFonts w:eastAsia="Times New Roman"/>
        </w:rPr>
        <w:t xml:space="preserve">anticipated </w:t>
      </w:r>
      <w:r w:rsidR="000A0D05">
        <w:rPr>
          <w:rFonts w:eastAsia="Times New Roman"/>
        </w:rPr>
        <w:t>request</w:t>
      </w:r>
      <w:r w:rsidR="006743EC">
        <w:rPr>
          <w:rFonts w:eastAsia="Times New Roman"/>
        </w:rPr>
        <w:t>s</w:t>
      </w:r>
      <w:r w:rsidR="000A0D05">
        <w:rPr>
          <w:rFonts w:eastAsia="Times New Roman"/>
        </w:rPr>
        <w:t xml:space="preserve"> for funding, research assistant support</w:t>
      </w:r>
      <w:r w:rsidR="00952BED">
        <w:rPr>
          <w:rFonts w:eastAsia="Times New Roman"/>
        </w:rPr>
        <w:t>,</w:t>
      </w:r>
      <w:r w:rsidR="000A0D05">
        <w:rPr>
          <w:rFonts w:eastAsia="Times New Roman"/>
        </w:rPr>
        <w:t xml:space="preserve"> </w:t>
      </w:r>
      <w:r w:rsidR="00952BED">
        <w:rPr>
          <w:rFonts w:eastAsia="Times New Roman"/>
        </w:rPr>
        <w:t>contractor support, purchase of datasets, software</w:t>
      </w:r>
      <w:r w:rsidR="00B23040">
        <w:rPr>
          <w:rFonts w:eastAsia="Times New Roman"/>
        </w:rPr>
        <w:t>, etc</w:t>
      </w:r>
      <w:r w:rsidR="00952BED">
        <w:rPr>
          <w:rFonts w:eastAsia="Times New Roman"/>
        </w:rPr>
        <w:t xml:space="preserve"> </w:t>
      </w:r>
      <w:r w:rsidR="00B23040">
        <w:rPr>
          <w:rFonts w:eastAsia="Times New Roman"/>
        </w:rPr>
        <w:t>.</w:t>
      </w:r>
      <w:r w:rsidR="00952BED">
        <w:rPr>
          <w:rFonts w:eastAsia="Times New Roman"/>
        </w:rPr>
        <w:t>..</w:t>
      </w:r>
    </w:p>
    <w:p w14:paraId="00DF9D9C" w14:textId="446AF337" w:rsidR="00615BAC" w:rsidRDefault="007A6D42" w:rsidP="00615BAC">
      <w:pPr>
        <w:pStyle w:val="ListParagraph"/>
        <w:numPr>
          <w:ilvl w:val="1"/>
          <w:numId w:val="10"/>
        </w:numPr>
        <w:spacing w:after="120"/>
        <w:rPr>
          <w:rFonts w:eastAsia="Times New Roman"/>
        </w:rPr>
      </w:pPr>
      <w:r>
        <w:rPr>
          <w:rFonts w:eastAsia="Times New Roman"/>
        </w:rPr>
        <w:t>I</w:t>
      </w:r>
      <w:r w:rsidR="0052258A">
        <w:rPr>
          <w:rFonts w:eastAsia="Times New Roman"/>
        </w:rPr>
        <w:t xml:space="preserve">nclude </w:t>
      </w:r>
      <w:r w:rsidR="00BD244A">
        <w:rPr>
          <w:rFonts w:eastAsia="Times New Roman"/>
        </w:rPr>
        <w:t>an estimate</w:t>
      </w:r>
      <w:r w:rsidR="0052258A">
        <w:rPr>
          <w:rFonts w:eastAsia="Times New Roman"/>
        </w:rPr>
        <w:t xml:space="preserve"> of expected NCEE level of effort</w:t>
      </w:r>
      <w:r w:rsidR="006E6682">
        <w:rPr>
          <w:rFonts w:eastAsia="Times New Roman"/>
        </w:rPr>
        <w:t xml:space="preserve"> </w:t>
      </w:r>
    </w:p>
    <w:p w14:paraId="2DB5BB4A" w14:textId="01660D2F" w:rsidR="00B53B72" w:rsidRPr="00B53B72" w:rsidRDefault="00615BAC" w:rsidP="00B53B72">
      <w:pPr>
        <w:pStyle w:val="ListParagraph"/>
        <w:numPr>
          <w:ilvl w:val="2"/>
          <w:numId w:val="10"/>
        </w:numPr>
        <w:spacing w:after="120"/>
        <w:rPr>
          <w:rFonts w:eastAsia="Times New Roman"/>
        </w:rPr>
      </w:pPr>
      <w:r>
        <w:rPr>
          <w:rFonts w:eastAsia="Times New Roman"/>
        </w:rPr>
        <w:t xml:space="preserve">Meetings </w:t>
      </w:r>
      <w:r w:rsidR="00B53B72" w:rsidRPr="00B53B72">
        <w:rPr>
          <w:rFonts w:eastAsia="Times New Roman"/>
        </w:rPr>
        <w:t>4 hours</w:t>
      </w:r>
      <w:r w:rsidR="00B53B72">
        <w:rPr>
          <w:rFonts w:eastAsia="Times New Roman"/>
        </w:rPr>
        <w:t xml:space="preserve"> </w:t>
      </w:r>
      <w:r w:rsidR="00206F57">
        <w:rPr>
          <w:rFonts w:eastAsia="Times New Roman"/>
        </w:rPr>
        <w:t xml:space="preserve">total </w:t>
      </w:r>
      <w:r w:rsidR="00B53B72">
        <w:rPr>
          <w:rFonts w:eastAsia="Times New Roman"/>
        </w:rPr>
        <w:t>per person</w:t>
      </w:r>
    </w:p>
    <w:p w14:paraId="21606872" w14:textId="35E10045" w:rsidR="00B53B72" w:rsidRPr="00B53B72" w:rsidRDefault="00615BAC" w:rsidP="00B53B72">
      <w:pPr>
        <w:pStyle w:val="ListParagraph"/>
        <w:numPr>
          <w:ilvl w:val="2"/>
          <w:numId w:val="10"/>
        </w:numPr>
        <w:spacing w:after="120"/>
        <w:rPr>
          <w:rFonts w:eastAsia="Times New Roman"/>
        </w:rPr>
      </w:pPr>
      <w:r>
        <w:rPr>
          <w:rFonts w:eastAsia="Times New Roman"/>
        </w:rPr>
        <w:t xml:space="preserve">Coding </w:t>
      </w:r>
      <w:r w:rsidR="00B53B72">
        <w:rPr>
          <w:rFonts w:eastAsia="Times New Roman"/>
        </w:rPr>
        <w:t xml:space="preserve">data </w:t>
      </w:r>
      <w:r w:rsidR="00206F57">
        <w:rPr>
          <w:rFonts w:eastAsia="Times New Roman"/>
        </w:rPr>
        <w:t>merges (2 hours total)</w:t>
      </w:r>
      <w:r>
        <w:rPr>
          <w:rFonts w:eastAsia="Times New Roman"/>
        </w:rPr>
        <w:t xml:space="preserve">, </w:t>
      </w:r>
      <w:r w:rsidR="00206F57">
        <w:rPr>
          <w:rFonts w:eastAsia="Times New Roman"/>
        </w:rPr>
        <w:t xml:space="preserve">generating drinking water indicators (4 hours), </w:t>
      </w:r>
      <w:r>
        <w:rPr>
          <w:rFonts w:eastAsia="Times New Roman"/>
        </w:rPr>
        <w:t>generating tables</w:t>
      </w:r>
      <w:r w:rsidR="00206F57">
        <w:rPr>
          <w:rFonts w:eastAsia="Times New Roman"/>
        </w:rPr>
        <w:t xml:space="preserve"> (6 hours)</w:t>
      </w:r>
      <w:r>
        <w:rPr>
          <w:rFonts w:eastAsia="Times New Roman"/>
        </w:rPr>
        <w:t>, creating figures</w:t>
      </w:r>
      <w:r w:rsidR="00B53B72">
        <w:rPr>
          <w:rFonts w:eastAsia="Times New Roman"/>
        </w:rPr>
        <w:t xml:space="preserve"> </w:t>
      </w:r>
      <w:r w:rsidR="00206F57">
        <w:rPr>
          <w:rFonts w:eastAsia="Times New Roman"/>
        </w:rPr>
        <w:t>(4 hours)</w:t>
      </w:r>
      <w:r w:rsidR="00B53B72">
        <w:rPr>
          <w:rFonts w:eastAsia="Times New Roman"/>
        </w:rPr>
        <w:t>– 8 hours per person</w:t>
      </w:r>
    </w:p>
    <w:p w14:paraId="13D88B25" w14:textId="1F62EEC3" w:rsidR="0097118E" w:rsidRPr="00615BAC" w:rsidRDefault="0097118E" w:rsidP="00615BAC">
      <w:pPr>
        <w:pStyle w:val="ListParagraph"/>
        <w:numPr>
          <w:ilvl w:val="2"/>
          <w:numId w:val="10"/>
        </w:numPr>
        <w:spacing w:after="120"/>
        <w:rPr>
          <w:rFonts w:eastAsia="Times New Roman"/>
        </w:rPr>
      </w:pPr>
      <w:r>
        <w:rPr>
          <w:rFonts w:eastAsia="Times New Roman"/>
        </w:rPr>
        <w:t xml:space="preserve">Writing paper </w:t>
      </w:r>
      <w:r w:rsidR="00B53B72">
        <w:rPr>
          <w:rFonts w:eastAsia="Times New Roman"/>
        </w:rPr>
        <w:t>– 16 hours total</w:t>
      </w:r>
      <w:r w:rsidR="00D94EF5">
        <w:rPr>
          <w:rFonts w:eastAsia="Times New Roman"/>
        </w:rPr>
        <w:t xml:space="preserve"> </w:t>
      </w:r>
    </w:p>
    <w:p w14:paraId="4FCD18C1" w14:textId="6C1D4879" w:rsidR="00B23040" w:rsidRDefault="00B23040" w:rsidP="00B23040">
      <w:pPr>
        <w:pStyle w:val="ListParagraph"/>
        <w:numPr>
          <w:ilvl w:val="0"/>
          <w:numId w:val="10"/>
        </w:numPr>
        <w:spacing w:before="240" w:after="120"/>
        <w:rPr>
          <w:rFonts w:eastAsia="Times New Roman"/>
        </w:rPr>
      </w:pPr>
      <w:r w:rsidRPr="00ED72D3">
        <w:rPr>
          <w:rFonts w:eastAsia="Times New Roman"/>
          <w:b/>
          <w:bCs/>
        </w:rPr>
        <w:t>Program Office Notification</w:t>
      </w:r>
      <w:r>
        <w:rPr>
          <w:rFonts w:eastAsia="Times New Roman"/>
        </w:rPr>
        <w:t xml:space="preserve"> - </w:t>
      </w:r>
      <w:r w:rsidR="007A6D42">
        <w:rPr>
          <w:rFonts w:eastAsia="Times New Roman"/>
        </w:rPr>
        <w:t xml:space="preserve">Indicate which </w:t>
      </w:r>
      <w:r>
        <w:rPr>
          <w:rFonts w:eastAsia="Times New Roman"/>
        </w:rPr>
        <w:t>program offices may have equities and should be notified (</w:t>
      </w:r>
      <w:r w:rsidR="007A6D42">
        <w:rPr>
          <w:rFonts w:eastAsia="Times New Roman"/>
        </w:rPr>
        <w:t>include the point of contact you expect to notify</w:t>
      </w:r>
      <w:r>
        <w:rPr>
          <w:rFonts w:eastAsia="Times New Roman"/>
        </w:rPr>
        <w:t>)</w:t>
      </w:r>
    </w:p>
    <w:p w14:paraId="7D2D879D" w14:textId="21F229F5" w:rsidR="004D3856" w:rsidRPr="004D3856" w:rsidRDefault="00615BAC" w:rsidP="004D3856">
      <w:pPr>
        <w:pStyle w:val="ListParagraph"/>
        <w:numPr>
          <w:ilvl w:val="1"/>
          <w:numId w:val="10"/>
        </w:numPr>
        <w:spacing w:before="240" w:after="120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Office of Water</w:t>
      </w:r>
      <w:r>
        <w:rPr>
          <w:rFonts w:eastAsia="Times New Roman"/>
        </w:rPr>
        <w:t xml:space="preserve">, </w:t>
      </w:r>
      <w:r w:rsidRPr="00615BAC">
        <w:rPr>
          <w:rFonts w:eastAsia="Times New Roman"/>
          <w:b/>
          <w:bCs/>
        </w:rPr>
        <w:t>WEC</w:t>
      </w:r>
      <w:r>
        <w:rPr>
          <w:rFonts w:eastAsia="Times New Roman"/>
        </w:rPr>
        <w:t xml:space="preserve">: Julie Hewitt </w:t>
      </w:r>
    </w:p>
    <w:p w14:paraId="09367DA6" w14:textId="0459F900" w:rsidR="00615BAC" w:rsidRPr="00615BAC" w:rsidRDefault="00615BAC" w:rsidP="00615BAC">
      <w:pPr>
        <w:pStyle w:val="ListParagraph"/>
        <w:numPr>
          <w:ilvl w:val="1"/>
          <w:numId w:val="10"/>
        </w:numPr>
        <w:spacing w:before="240" w:after="120"/>
        <w:rPr>
          <w:rFonts w:eastAsia="Times New Roman"/>
        </w:rPr>
      </w:pPr>
      <w:r>
        <w:rPr>
          <w:rFonts w:eastAsia="Times New Roman"/>
          <w:b/>
          <w:bCs/>
        </w:rPr>
        <w:t xml:space="preserve">Office of Water: </w:t>
      </w:r>
      <w:r w:rsidR="004D3856" w:rsidRPr="004D3856">
        <w:rPr>
          <w:rFonts w:eastAsia="Times New Roman"/>
        </w:rPr>
        <w:t xml:space="preserve">Jim Kohler, Chandler Klawitter, </w:t>
      </w:r>
      <w:r w:rsidR="00B53B72" w:rsidRPr="004D3856">
        <w:rPr>
          <w:rFonts w:eastAsia="Times New Roman"/>
        </w:rPr>
        <w:t xml:space="preserve">Rachel Gonsenhauser, Morgan Teachey, Julia </w:t>
      </w:r>
      <w:proofErr w:type="spellStart"/>
      <w:r w:rsidR="00B53B72" w:rsidRPr="004D3856">
        <w:rPr>
          <w:rFonts w:eastAsia="Times New Roman"/>
        </w:rPr>
        <w:t>Montsarrat</w:t>
      </w:r>
      <w:proofErr w:type="spellEnd"/>
    </w:p>
    <w:p w14:paraId="67474FD2" w14:textId="0DCF55B7" w:rsidR="00615BAC" w:rsidRDefault="00B53B72" w:rsidP="00615BAC">
      <w:pPr>
        <w:pStyle w:val="ListParagraph"/>
        <w:numPr>
          <w:ilvl w:val="1"/>
          <w:numId w:val="10"/>
        </w:numPr>
        <w:spacing w:before="240" w:after="120"/>
        <w:rPr>
          <w:rFonts w:eastAsia="Times New Roman"/>
        </w:rPr>
      </w:pPr>
      <w:r>
        <w:rPr>
          <w:rFonts w:eastAsia="Times New Roman"/>
          <w:b/>
          <w:bCs/>
        </w:rPr>
        <w:t>Office of Environmental Justice</w:t>
      </w:r>
      <w:r w:rsidR="00615BAC">
        <w:rPr>
          <w:rFonts w:eastAsia="Times New Roman"/>
          <w:b/>
          <w:bCs/>
        </w:rPr>
        <w:t>:</w:t>
      </w:r>
      <w:r w:rsidR="00615BAC">
        <w:rPr>
          <w:rFonts w:eastAsia="Times New Roman"/>
        </w:rPr>
        <w:t xml:space="preserve"> </w:t>
      </w:r>
      <w:r>
        <w:rPr>
          <w:rFonts w:eastAsia="Times New Roman"/>
        </w:rPr>
        <w:t>Tai Lung, Alex Hall (on detail from ORD)</w:t>
      </w:r>
    </w:p>
    <w:p w14:paraId="1C11F8C3" w14:textId="60CD91B9" w:rsidR="0097118E" w:rsidRDefault="0097118E" w:rsidP="00615BAC">
      <w:pPr>
        <w:pStyle w:val="ListParagraph"/>
        <w:numPr>
          <w:ilvl w:val="1"/>
          <w:numId w:val="10"/>
        </w:numPr>
        <w:spacing w:before="240" w:after="120"/>
        <w:rPr>
          <w:rFonts w:eastAsia="Times New Roman"/>
        </w:rPr>
      </w:pPr>
      <w:r>
        <w:rPr>
          <w:rFonts w:eastAsia="Times New Roman"/>
          <w:b/>
          <w:bCs/>
        </w:rPr>
        <w:t xml:space="preserve">Office of Enforcement and Compliance Assurance: </w:t>
      </w:r>
      <w:r w:rsidR="004D3856" w:rsidRPr="004D3856">
        <w:rPr>
          <w:rFonts w:eastAsia="Times New Roman"/>
        </w:rPr>
        <w:t xml:space="preserve">Andrew Schulman, </w:t>
      </w:r>
      <w:r w:rsidRPr="004D3856">
        <w:rPr>
          <w:rFonts w:eastAsia="Times New Roman"/>
        </w:rPr>
        <w:t>Nicholas Spalt</w:t>
      </w:r>
    </w:p>
    <w:p w14:paraId="6C8AF001" w14:textId="2AEF6689" w:rsidR="000A0D05" w:rsidRPr="000A0D05" w:rsidRDefault="007E384A" w:rsidP="006743EC">
      <w:pPr>
        <w:pStyle w:val="ListParagraph"/>
        <w:numPr>
          <w:ilvl w:val="0"/>
          <w:numId w:val="10"/>
        </w:numPr>
        <w:spacing w:before="240" w:after="120"/>
        <w:rPr>
          <w:rFonts w:eastAsia="Times New Roman"/>
        </w:rPr>
      </w:pPr>
      <w:r w:rsidRPr="00ED72D3">
        <w:rPr>
          <w:rFonts w:eastAsia="Times New Roman"/>
          <w:b/>
          <w:bCs/>
        </w:rPr>
        <w:t>Data</w:t>
      </w:r>
      <w:r>
        <w:rPr>
          <w:rFonts w:eastAsia="Times New Roman"/>
        </w:rPr>
        <w:t xml:space="preserve"> - </w:t>
      </w:r>
      <w:r w:rsidR="007A6D42">
        <w:rPr>
          <w:rFonts w:eastAsia="Times New Roman"/>
        </w:rPr>
        <w:t>P</w:t>
      </w:r>
      <w:r>
        <w:rPr>
          <w:rFonts w:eastAsia="Times New Roman"/>
        </w:rPr>
        <w:t>rovide a b</w:t>
      </w:r>
      <w:r w:rsidR="000A0D05">
        <w:rPr>
          <w:rFonts w:eastAsia="Times New Roman"/>
        </w:rPr>
        <w:t>rief description of dataset(s)</w:t>
      </w:r>
      <w:r w:rsidR="007A6D42">
        <w:rPr>
          <w:rFonts w:eastAsia="Times New Roman"/>
        </w:rPr>
        <w:t xml:space="preserve"> that will be developed or used</w:t>
      </w:r>
    </w:p>
    <w:p w14:paraId="29265837" w14:textId="49F2A958" w:rsidR="000A0D05" w:rsidRDefault="000A0D05" w:rsidP="00FF7B1B">
      <w:pPr>
        <w:pStyle w:val="ListParagraph"/>
        <w:numPr>
          <w:ilvl w:val="1"/>
          <w:numId w:val="10"/>
        </w:numPr>
        <w:spacing w:before="120"/>
        <w:rPr>
          <w:rFonts w:eastAsia="Times New Roman"/>
        </w:rPr>
      </w:pPr>
      <w:r>
        <w:rPr>
          <w:rFonts w:eastAsia="Times New Roman"/>
        </w:rPr>
        <w:t xml:space="preserve">Will a </w:t>
      </w:r>
      <w:r w:rsidR="006E4255">
        <w:rPr>
          <w:rFonts w:eastAsia="Times New Roman"/>
        </w:rPr>
        <w:t>Quality Assurance Project Plan (</w:t>
      </w:r>
      <w:r>
        <w:rPr>
          <w:rFonts w:eastAsia="Times New Roman"/>
        </w:rPr>
        <w:t>QAPP</w:t>
      </w:r>
      <w:r w:rsidR="00152EC8">
        <w:rPr>
          <w:rFonts w:eastAsia="Times New Roman"/>
        </w:rPr>
        <w:t>)</w:t>
      </w:r>
      <w:r>
        <w:rPr>
          <w:rFonts w:eastAsia="Times New Roman"/>
        </w:rPr>
        <w:t xml:space="preserve"> be prepared?</w:t>
      </w:r>
      <w:r w:rsidR="00152EC8">
        <w:rPr>
          <w:rFonts w:eastAsia="Times New Roman"/>
        </w:rPr>
        <w:t xml:space="preserve"> </w:t>
      </w:r>
    </w:p>
    <w:p w14:paraId="2EB414B7" w14:textId="6A445080" w:rsidR="00713A52" w:rsidRDefault="00713A52" w:rsidP="007E384A">
      <w:pPr>
        <w:spacing w:after="120"/>
        <w:ind w:left="1440"/>
        <w:rPr>
          <w:rFonts w:eastAsia="Times New Roman"/>
          <w:sz w:val="18"/>
          <w:szCs w:val="18"/>
        </w:rPr>
      </w:pPr>
      <w:r w:rsidRPr="00713A52">
        <w:rPr>
          <w:rFonts w:eastAsia="Times New Roman"/>
          <w:sz w:val="18"/>
          <w:szCs w:val="18"/>
        </w:rPr>
        <w:t>Research which collects primary data or generates environmental data using models require a QAPP</w:t>
      </w:r>
      <w:r>
        <w:rPr>
          <w:rFonts w:eastAsia="Times New Roman"/>
          <w:sz w:val="18"/>
          <w:szCs w:val="18"/>
        </w:rPr>
        <w:t xml:space="preserve">. </w:t>
      </w:r>
      <w:r w:rsidRPr="00713A52">
        <w:rPr>
          <w:rFonts w:eastAsia="Times New Roman"/>
          <w:sz w:val="18"/>
          <w:szCs w:val="18"/>
        </w:rPr>
        <w:t>For more information see</w:t>
      </w:r>
      <w:r>
        <w:rPr>
          <w:rFonts w:eastAsia="Times New Roman"/>
          <w:sz w:val="18"/>
          <w:szCs w:val="18"/>
        </w:rPr>
        <w:t xml:space="preserve">: </w:t>
      </w:r>
      <w:hyperlink r:id="rId9" w:history="1">
        <w:r w:rsidRPr="009731CA">
          <w:rPr>
            <w:rStyle w:val="Hyperlink"/>
            <w:rFonts w:eastAsia="Times New Roman"/>
            <w:sz w:val="18"/>
            <w:szCs w:val="18"/>
          </w:rPr>
          <w:t>https://www.epa.gov/sites/production/files/2016-06/documents/r5-final_0.pdf</w:t>
        </w:r>
      </w:hyperlink>
      <w:r>
        <w:rPr>
          <w:rFonts w:eastAsia="Times New Roman"/>
          <w:sz w:val="18"/>
          <w:szCs w:val="18"/>
        </w:rPr>
        <w:t xml:space="preserve"> </w:t>
      </w:r>
    </w:p>
    <w:p w14:paraId="59D13064" w14:textId="0B2576B7" w:rsidR="00615BAC" w:rsidRPr="00674BB7" w:rsidRDefault="00674BB7" w:rsidP="007E384A">
      <w:pPr>
        <w:spacing w:after="120"/>
        <w:ind w:left="1440"/>
        <w:rPr>
          <w:rFonts w:eastAsia="Times New Roman"/>
          <w:sz w:val="18"/>
          <w:szCs w:val="18"/>
        </w:rPr>
      </w:pPr>
      <w:r w:rsidRPr="00674BB7">
        <w:rPr>
          <w:rFonts w:eastAsia="Times New Roman"/>
          <w:sz w:val="18"/>
          <w:szCs w:val="18"/>
        </w:rPr>
        <w:t>No</w:t>
      </w:r>
    </w:p>
    <w:p w14:paraId="3F130794" w14:textId="7BFA3C92" w:rsidR="000A0D05" w:rsidRDefault="006E4255" w:rsidP="009243D1">
      <w:pPr>
        <w:pStyle w:val="ListParagraph"/>
        <w:numPr>
          <w:ilvl w:val="1"/>
          <w:numId w:val="10"/>
        </w:numPr>
        <w:spacing w:before="120"/>
        <w:rPr>
          <w:rFonts w:eastAsia="Times New Roman"/>
        </w:rPr>
      </w:pPr>
      <w:r w:rsidRPr="006E4255">
        <w:rPr>
          <w:rFonts w:eastAsia="Times New Roman"/>
        </w:rPr>
        <w:t xml:space="preserve">Will a Scientific Data Management Plan (SDMP) be prepared? </w:t>
      </w:r>
    </w:p>
    <w:p w14:paraId="3E89B4C0" w14:textId="7C2B4683" w:rsidR="00152EC8" w:rsidRDefault="00152EC8" w:rsidP="00BC6EF4">
      <w:pPr>
        <w:spacing w:after="120"/>
        <w:ind w:left="1440"/>
        <w:rPr>
          <w:rFonts w:eastAsia="Times New Roman"/>
          <w:sz w:val="18"/>
          <w:szCs w:val="18"/>
        </w:rPr>
      </w:pPr>
      <w:r w:rsidRPr="00713A52">
        <w:rPr>
          <w:rFonts w:eastAsia="Times New Roman"/>
          <w:sz w:val="18"/>
          <w:szCs w:val="18"/>
        </w:rPr>
        <w:t>An SDMP is required for any journal article involving an original EPA-funded dataset</w:t>
      </w:r>
      <w:r w:rsidR="006E6682">
        <w:rPr>
          <w:rFonts w:eastAsia="Times New Roman"/>
          <w:sz w:val="18"/>
          <w:szCs w:val="18"/>
        </w:rPr>
        <w:t xml:space="preserve"> </w:t>
      </w:r>
      <w:r w:rsidRPr="00713A52">
        <w:rPr>
          <w:rFonts w:eastAsia="Times New Roman"/>
          <w:sz w:val="18"/>
          <w:szCs w:val="18"/>
        </w:rPr>
        <w:t>and must be completed before the manuscript is submitted to a journal. For more information see</w:t>
      </w:r>
      <w:r w:rsidR="00713A52">
        <w:rPr>
          <w:rFonts w:eastAsia="Times New Roman"/>
          <w:sz w:val="18"/>
          <w:szCs w:val="18"/>
        </w:rPr>
        <w:t>:</w:t>
      </w:r>
      <w:r w:rsidRPr="00713A52">
        <w:rPr>
          <w:rFonts w:eastAsia="Times New Roman"/>
          <w:sz w:val="18"/>
          <w:szCs w:val="18"/>
        </w:rPr>
        <w:t xml:space="preserve"> </w:t>
      </w:r>
      <w:hyperlink r:id="rId10" w:history="1">
        <w:r w:rsidRPr="00713A52">
          <w:rPr>
            <w:rStyle w:val="Hyperlink"/>
            <w:rFonts w:eastAsia="Times New Roman"/>
            <w:sz w:val="18"/>
            <w:szCs w:val="18"/>
          </w:rPr>
          <w:t>https://intranet.ord.epa.gov/releasing-manuscripts-and-data/epa-scientific-data-management-plans-sdmp</w:t>
        </w:r>
      </w:hyperlink>
      <w:r w:rsidRPr="00713A52">
        <w:rPr>
          <w:rFonts w:eastAsia="Times New Roman"/>
          <w:sz w:val="18"/>
          <w:szCs w:val="18"/>
        </w:rPr>
        <w:t xml:space="preserve"> </w:t>
      </w:r>
    </w:p>
    <w:p w14:paraId="233D0A53" w14:textId="4C3C1DBC" w:rsidR="00615BAC" w:rsidRPr="00674BB7" w:rsidRDefault="00674BB7" w:rsidP="00BC6EF4">
      <w:pPr>
        <w:spacing w:after="120"/>
        <w:ind w:left="1440"/>
        <w:rPr>
          <w:rFonts w:eastAsia="Times New Roman"/>
        </w:rPr>
      </w:pPr>
      <w:r w:rsidRPr="00674BB7">
        <w:rPr>
          <w:rFonts w:eastAsia="Times New Roman"/>
          <w:sz w:val="18"/>
          <w:szCs w:val="18"/>
        </w:rPr>
        <w:t>No</w:t>
      </w:r>
    </w:p>
    <w:p w14:paraId="58168B30" w14:textId="3D9ADE56" w:rsidR="000A0D05" w:rsidRPr="007371A5" w:rsidRDefault="006E4255" w:rsidP="009243D1">
      <w:pPr>
        <w:pStyle w:val="ListParagraph"/>
        <w:numPr>
          <w:ilvl w:val="1"/>
          <w:numId w:val="10"/>
        </w:numPr>
        <w:spacing w:before="120"/>
        <w:rPr>
          <w:rFonts w:eastAsia="Times New Roman"/>
        </w:rPr>
      </w:pPr>
      <w:r>
        <w:rPr>
          <w:rFonts w:eastAsia="Times New Roman"/>
        </w:rPr>
        <w:t xml:space="preserve">Will this </w:t>
      </w:r>
      <w:r w:rsidR="006E6682">
        <w:rPr>
          <w:rFonts w:eastAsia="Times New Roman"/>
        </w:rPr>
        <w:t>R</w:t>
      </w:r>
      <w:r>
        <w:rPr>
          <w:rFonts w:eastAsia="Times New Roman"/>
        </w:rPr>
        <w:t xml:space="preserve">esearch </w:t>
      </w:r>
      <w:r w:rsidR="006E6682">
        <w:rPr>
          <w:rFonts w:eastAsia="Times New Roman"/>
        </w:rPr>
        <w:t>R</w:t>
      </w:r>
      <w:r>
        <w:rPr>
          <w:rFonts w:eastAsia="Times New Roman"/>
        </w:rPr>
        <w:t>equire the use of</w:t>
      </w:r>
      <w:r w:rsidR="000A0D05">
        <w:rPr>
          <w:rFonts w:eastAsia="Times New Roman"/>
        </w:rPr>
        <w:t xml:space="preserve"> </w:t>
      </w:r>
      <w:r w:rsidR="006E6682">
        <w:rPr>
          <w:rFonts w:eastAsia="Times New Roman"/>
        </w:rPr>
        <w:t>H</w:t>
      </w:r>
      <w:r w:rsidR="000A0D05">
        <w:rPr>
          <w:rFonts w:eastAsia="Times New Roman"/>
        </w:rPr>
        <w:t xml:space="preserve">uman </w:t>
      </w:r>
      <w:r w:rsidR="006E6682">
        <w:rPr>
          <w:rFonts w:eastAsia="Times New Roman"/>
        </w:rPr>
        <w:t>S</w:t>
      </w:r>
      <w:r w:rsidR="000A0D05">
        <w:rPr>
          <w:rFonts w:eastAsia="Times New Roman"/>
        </w:rPr>
        <w:t>ubject</w:t>
      </w:r>
      <w:r>
        <w:rPr>
          <w:rFonts w:eastAsia="Times New Roman"/>
        </w:rPr>
        <w:t>s</w:t>
      </w:r>
      <w:r w:rsidR="000A0D05">
        <w:rPr>
          <w:rFonts w:eastAsia="Times New Roman"/>
        </w:rPr>
        <w:t xml:space="preserve">? </w:t>
      </w:r>
    </w:p>
    <w:p w14:paraId="16613076" w14:textId="77777777" w:rsidR="0097118E" w:rsidRDefault="0097118E" w:rsidP="007371A5">
      <w:pPr>
        <w:ind w:left="1440"/>
        <w:rPr>
          <w:sz w:val="18"/>
          <w:szCs w:val="18"/>
        </w:rPr>
      </w:pPr>
    </w:p>
    <w:p w14:paraId="601C1649" w14:textId="38224942" w:rsidR="00615BAC" w:rsidRDefault="00615BAC" w:rsidP="007371A5">
      <w:pPr>
        <w:ind w:left="1440"/>
        <w:rPr>
          <w:sz w:val="18"/>
          <w:szCs w:val="18"/>
        </w:rPr>
      </w:pPr>
      <w:r>
        <w:rPr>
          <w:sz w:val="18"/>
          <w:szCs w:val="18"/>
        </w:rPr>
        <w:t>No</w:t>
      </w:r>
    </w:p>
    <w:p w14:paraId="7A52076F" w14:textId="7CEF0C22" w:rsidR="006033BC" w:rsidRDefault="009243D1" w:rsidP="00F809B5">
      <w:pPr>
        <w:pStyle w:val="ListParagraph"/>
        <w:numPr>
          <w:ilvl w:val="1"/>
          <w:numId w:val="10"/>
        </w:numPr>
        <w:spacing w:before="12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Does the </w:t>
      </w:r>
      <w:r w:rsidR="006033BC">
        <w:rPr>
          <w:rFonts w:eastAsia="Times New Roman"/>
          <w:color w:val="000000" w:themeColor="text1"/>
        </w:rPr>
        <w:t xml:space="preserve">Paperwork Reduction Act </w:t>
      </w:r>
      <w:r>
        <w:rPr>
          <w:rFonts w:eastAsia="Times New Roman"/>
          <w:color w:val="000000" w:themeColor="text1"/>
        </w:rPr>
        <w:t>(PRA) apply?</w:t>
      </w:r>
    </w:p>
    <w:p w14:paraId="46760172" w14:textId="77777777" w:rsidR="0097118E" w:rsidRDefault="0097118E" w:rsidP="00BC6EF4">
      <w:pPr>
        <w:spacing w:after="120"/>
        <w:ind w:left="1440"/>
        <w:rPr>
          <w:rFonts w:eastAsia="Times New Roman"/>
          <w:color w:val="000000" w:themeColor="text1"/>
          <w:sz w:val="18"/>
          <w:szCs w:val="18"/>
        </w:rPr>
      </w:pPr>
    </w:p>
    <w:p w14:paraId="7F4DFB00" w14:textId="5D5CA6C0" w:rsidR="00615BAC" w:rsidRPr="009243D1" w:rsidRDefault="00615BAC" w:rsidP="00BC6EF4">
      <w:pPr>
        <w:spacing w:after="120"/>
        <w:ind w:left="1440"/>
        <w:rPr>
          <w:rFonts w:eastAsia="Times New Roman"/>
          <w:color w:val="000000" w:themeColor="text1"/>
          <w:sz w:val="18"/>
          <w:szCs w:val="18"/>
        </w:rPr>
      </w:pPr>
      <w:r>
        <w:rPr>
          <w:rFonts w:eastAsia="Times New Roman"/>
          <w:color w:val="000000" w:themeColor="text1"/>
          <w:sz w:val="18"/>
          <w:szCs w:val="18"/>
        </w:rPr>
        <w:t>No</w:t>
      </w:r>
    </w:p>
    <w:p w14:paraId="409F062D" w14:textId="639373FA" w:rsidR="00BC6EF4" w:rsidRDefault="006033BC" w:rsidP="00D03B6B">
      <w:pPr>
        <w:pStyle w:val="ListParagraph"/>
        <w:numPr>
          <w:ilvl w:val="1"/>
          <w:numId w:val="10"/>
        </w:numPr>
        <w:spacing w:before="120" w:after="120"/>
        <w:rPr>
          <w:rFonts w:eastAsia="Times New Roman"/>
        </w:rPr>
      </w:pPr>
      <w:r>
        <w:rPr>
          <w:rFonts w:eastAsia="Times New Roman"/>
        </w:rPr>
        <w:t xml:space="preserve">Does the dataset include </w:t>
      </w:r>
      <w:r w:rsidRPr="00FF7B1B">
        <w:rPr>
          <w:rFonts w:eastAsia="Times New Roman"/>
        </w:rPr>
        <w:t xml:space="preserve">Controlled Unclassified Information </w:t>
      </w:r>
      <w:r>
        <w:rPr>
          <w:rFonts w:eastAsia="Times New Roman"/>
        </w:rPr>
        <w:t xml:space="preserve">(CUI) that cannot be publicly released? </w:t>
      </w:r>
    </w:p>
    <w:p w14:paraId="2AD53542" w14:textId="7F20118F" w:rsidR="00615BAC" w:rsidRDefault="0097118E" w:rsidP="0097118E">
      <w:pPr>
        <w:pStyle w:val="ListParagraph"/>
        <w:spacing w:before="120" w:after="120"/>
        <w:ind w:left="1440"/>
        <w:rPr>
          <w:rFonts w:eastAsia="Times New Roman"/>
        </w:rPr>
      </w:pPr>
      <w:r>
        <w:rPr>
          <w:rFonts w:eastAsia="Times New Roman"/>
        </w:rPr>
        <w:t>No</w:t>
      </w:r>
    </w:p>
    <w:p w14:paraId="2ADD0450" w14:textId="58C9611A" w:rsidR="006033BC" w:rsidRPr="00BC6EF4" w:rsidRDefault="006033BC" w:rsidP="00D03B6B">
      <w:pPr>
        <w:pStyle w:val="ListParagraph"/>
        <w:numPr>
          <w:ilvl w:val="1"/>
          <w:numId w:val="10"/>
        </w:numPr>
        <w:spacing w:before="120" w:after="60"/>
        <w:rPr>
          <w:rFonts w:eastAsia="Times New Roman"/>
        </w:rPr>
      </w:pPr>
      <w:r w:rsidRPr="00BC6EF4">
        <w:rPr>
          <w:rFonts w:eastAsia="Times New Roman"/>
        </w:rPr>
        <w:t xml:space="preserve">Is a Privacy Threshold Analysis (PTA) and potential Privacy Impact Assessment (PIA) required? </w:t>
      </w:r>
    </w:p>
    <w:p w14:paraId="7BFB388A" w14:textId="0C4E9071" w:rsidR="006033BC" w:rsidRDefault="006033BC" w:rsidP="00BC6EF4">
      <w:pPr>
        <w:ind w:left="1530"/>
        <w:rPr>
          <w:sz w:val="18"/>
          <w:szCs w:val="18"/>
        </w:rPr>
      </w:pPr>
      <w:r w:rsidRPr="00074374">
        <w:rPr>
          <w:sz w:val="18"/>
          <w:szCs w:val="18"/>
        </w:rPr>
        <w:t xml:space="preserve">A </w:t>
      </w:r>
      <w:r>
        <w:rPr>
          <w:sz w:val="18"/>
          <w:szCs w:val="18"/>
        </w:rPr>
        <w:t>PTA</w:t>
      </w:r>
      <w:r w:rsidRPr="00074374">
        <w:rPr>
          <w:sz w:val="18"/>
          <w:szCs w:val="18"/>
        </w:rPr>
        <w:t xml:space="preserve"> is a questionnaire used to determine if a </w:t>
      </w:r>
      <w:r>
        <w:rPr>
          <w:sz w:val="18"/>
          <w:szCs w:val="18"/>
        </w:rPr>
        <w:t xml:space="preserve">data set or </w:t>
      </w:r>
      <w:r w:rsidRPr="00074374">
        <w:rPr>
          <w:sz w:val="18"/>
          <w:szCs w:val="18"/>
        </w:rPr>
        <w:t xml:space="preserve">system contains personally identifiable information (PII), </w:t>
      </w:r>
      <w:r>
        <w:rPr>
          <w:sz w:val="18"/>
          <w:szCs w:val="18"/>
        </w:rPr>
        <w:t xml:space="preserve">and </w:t>
      </w:r>
      <w:r w:rsidRPr="00074374">
        <w:rPr>
          <w:sz w:val="18"/>
          <w:szCs w:val="18"/>
        </w:rPr>
        <w:t>whether a PIA</w:t>
      </w:r>
      <w:r>
        <w:rPr>
          <w:sz w:val="18"/>
          <w:szCs w:val="18"/>
        </w:rPr>
        <w:t xml:space="preserve">, as well as other actions are </w:t>
      </w:r>
      <w:r w:rsidRPr="00074374">
        <w:rPr>
          <w:sz w:val="18"/>
          <w:szCs w:val="18"/>
        </w:rPr>
        <w:t>required</w:t>
      </w:r>
      <w:r>
        <w:rPr>
          <w:sz w:val="18"/>
          <w:szCs w:val="18"/>
        </w:rPr>
        <w:t>.</w:t>
      </w:r>
    </w:p>
    <w:p w14:paraId="3D07EB55" w14:textId="5A70EE5D" w:rsidR="0097118E" w:rsidRDefault="0097118E" w:rsidP="00BC6EF4">
      <w:pPr>
        <w:ind w:left="1530"/>
        <w:rPr>
          <w:sz w:val="18"/>
          <w:szCs w:val="18"/>
        </w:rPr>
      </w:pPr>
      <w:r>
        <w:rPr>
          <w:sz w:val="18"/>
          <w:szCs w:val="18"/>
        </w:rPr>
        <w:t>No</w:t>
      </w:r>
    </w:p>
    <w:p w14:paraId="434CF9AD" w14:textId="39755CD9" w:rsidR="006033BC" w:rsidRPr="0097118E" w:rsidRDefault="006033BC" w:rsidP="00D03B6B">
      <w:pPr>
        <w:pStyle w:val="ListParagraph"/>
        <w:numPr>
          <w:ilvl w:val="1"/>
          <w:numId w:val="10"/>
        </w:numPr>
        <w:spacing w:before="120" w:after="120"/>
      </w:pPr>
      <w:r w:rsidRPr="00EA5F78">
        <w:rPr>
          <w:rFonts w:eastAsia="Times New Roman"/>
          <w:color w:val="000000" w:themeColor="text1"/>
        </w:rPr>
        <w:t xml:space="preserve">Will a </w:t>
      </w:r>
      <w:r w:rsidR="007371A5" w:rsidRPr="00EA5F78">
        <w:rPr>
          <w:rFonts w:eastAsia="Times New Roman"/>
          <w:color w:val="000000" w:themeColor="text1"/>
        </w:rPr>
        <w:t>Data Use Agreement</w:t>
      </w:r>
      <w:r w:rsidRPr="00EA5F78">
        <w:rPr>
          <w:rFonts w:eastAsia="Times New Roman"/>
          <w:color w:val="000000" w:themeColor="text1"/>
        </w:rPr>
        <w:t xml:space="preserve"> be required? </w:t>
      </w:r>
    </w:p>
    <w:p w14:paraId="6677BC5C" w14:textId="78BD1A51" w:rsidR="0097118E" w:rsidRDefault="0097118E" w:rsidP="0097118E">
      <w:pPr>
        <w:pStyle w:val="ListParagraph"/>
        <w:spacing w:before="120" w:after="120"/>
        <w:ind w:left="144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No</w:t>
      </w:r>
    </w:p>
    <w:p w14:paraId="09A796C1" w14:textId="7D4F315E" w:rsidR="0093667B" w:rsidRDefault="0093667B" w:rsidP="0097118E">
      <w:pPr>
        <w:pStyle w:val="ListParagraph"/>
        <w:spacing w:before="120" w:after="120"/>
        <w:ind w:left="1440"/>
        <w:rPr>
          <w:rFonts w:eastAsia="Times New Roman"/>
          <w:color w:val="000000" w:themeColor="text1"/>
        </w:rPr>
      </w:pPr>
    </w:p>
    <w:p w14:paraId="6225D962" w14:textId="611176B7" w:rsidR="0093667B" w:rsidRDefault="0093667B" w:rsidP="0097118E">
      <w:pPr>
        <w:pStyle w:val="ListParagraph"/>
        <w:spacing w:before="120" w:after="120"/>
        <w:ind w:left="1440"/>
        <w:rPr>
          <w:rFonts w:eastAsia="Times New Roman"/>
          <w:color w:val="000000" w:themeColor="text1"/>
        </w:rPr>
      </w:pPr>
    </w:p>
    <w:p w14:paraId="267D111F" w14:textId="77777777" w:rsidR="0093667B" w:rsidRDefault="0093667B">
      <w:pPr>
        <w:rPr>
          <w:rFonts w:ascii="Calibri" w:eastAsia="Times New Roman" w:hAnsi="Calibri" w:cs="Calibri"/>
          <w:color w:val="000000" w:themeColor="text1"/>
        </w:rPr>
      </w:pPr>
      <w:r>
        <w:rPr>
          <w:rFonts w:eastAsia="Times New Roman"/>
          <w:color w:val="000000" w:themeColor="text1"/>
        </w:rPr>
        <w:br w:type="page"/>
      </w:r>
    </w:p>
    <w:p w14:paraId="76043CD1" w14:textId="03D53C75" w:rsidR="0093667B" w:rsidRPr="0093667B" w:rsidRDefault="0093667B" w:rsidP="0093667B">
      <w:pPr>
        <w:pStyle w:val="ListParagraph"/>
        <w:numPr>
          <w:ilvl w:val="0"/>
          <w:numId w:val="10"/>
        </w:numPr>
        <w:spacing w:before="120" w:after="120"/>
      </w:pPr>
      <w:r w:rsidRPr="0093667B">
        <w:rPr>
          <w:rFonts w:eastAsia="Times New Roman"/>
          <w:color w:val="000000" w:themeColor="text1"/>
        </w:rPr>
        <w:lastRenderedPageBreak/>
        <w:t xml:space="preserve">Sample Output Table for the Analysis </w:t>
      </w:r>
    </w:p>
    <w:p w14:paraId="6DB8E9B9" w14:textId="69EB5185" w:rsidR="0093667B" w:rsidRDefault="0093667B" w:rsidP="0093667B">
      <w:pPr>
        <w:spacing w:before="120" w:after="120"/>
        <w:ind w:left="360"/>
      </w:pPr>
      <w:r w:rsidRPr="00BC4A5C">
        <w:rPr>
          <w:noProof/>
        </w:rPr>
        <w:drawing>
          <wp:inline distT="0" distB="0" distL="0" distR="0" wp14:anchorId="03A34A24" wp14:editId="285D975E">
            <wp:extent cx="5943600" cy="3705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4698"/>
    <w:multiLevelType w:val="hybridMultilevel"/>
    <w:tmpl w:val="74186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56356"/>
    <w:multiLevelType w:val="hybridMultilevel"/>
    <w:tmpl w:val="6E72A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A30E2"/>
    <w:multiLevelType w:val="hybridMultilevel"/>
    <w:tmpl w:val="F74E2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16054"/>
    <w:multiLevelType w:val="hybridMultilevel"/>
    <w:tmpl w:val="951A8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D67AE"/>
    <w:multiLevelType w:val="multilevel"/>
    <w:tmpl w:val="C32E4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0EC3FE1"/>
    <w:multiLevelType w:val="hybridMultilevel"/>
    <w:tmpl w:val="A97212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84B27BA"/>
    <w:multiLevelType w:val="multilevel"/>
    <w:tmpl w:val="EF46D9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738670428">
    <w:abstractNumId w:val="6"/>
  </w:num>
  <w:num w:numId="2" w16cid:durableId="544217687">
    <w:abstractNumId w:val="6"/>
  </w:num>
  <w:num w:numId="3" w16cid:durableId="1663466267">
    <w:abstractNumId w:val="6"/>
  </w:num>
  <w:num w:numId="4" w16cid:durableId="153574671">
    <w:abstractNumId w:val="6"/>
  </w:num>
  <w:num w:numId="5" w16cid:durableId="131942547">
    <w:abstractNumId w:val="6"/>
  </w:num>
  <w:num w:numId="6" w16cid:durableId="2087144418">
    <w:abstractNumId w:val="6"/>
  </w:num>
  <w:num w:numId="7" w16cid:durableId="46950953">
    <w:abstractNumId w:val="6"/>
  </w:num>
  <w:num w:numId="8" w16cid:durableId="1135953844">
    <w:abstractNumId w:val="4"/>
  </w:num>
  <w:num w:numId="9" w16cid:durableId="1547058649">
    <w:abstractNumId w:val="4"/>
  </w:num>
  <w:num w:numId="10" w16cid:durableId="1639533966">
    <w:abstractNumId w:val="0"/>
  </w:num>
  <w:num w:numId="11" w16cid:durableId="1568224780">
    <w:abstractNumId w:val="1"/>
  </w:num>
  <w:num w:numId="12" w16cid:durableId="1924727437">
    <w:abstractNumId w:val="1"/>
  </w:num>
  <w:num w:numId="13" w16cid:durableId="1199391781">
    <w:abstractNumId w:val="0"/>
  </w:num>
  <w:num w:numId="14" w16cid:durableId="1220635356">
    <w:abstractNumId w:val="2"/>
  </w:num>
  <w:num w:numId="15" w16cid:durableId="953555859">
    <w:abstractNumId w:val="5"/>
  </w:num>
  <w:num w:numId="16" w16cid:durableId="213471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05"/>
    <w:rsid w:val="00010BA3"/>
    <w:rsid w:val="0002503E"/>
    <w:rsid w:val="00035E07"/>
    <w:rsid w:val="000425F1"/>
    <w:rsid w:val="000428FF"/>
    <w:rsid w:val="00074374"/>
    <w:rsid w:val="000A0D05"/>
    <w:rsid w:val="000A1833"/>
    <w:rsid w:val="00110A0F"/>
    <w:rsid w:val="0014271A"/>
    <w:rsid w:val="00151FA0"/>
    <w:rsid w:val="00152EC8"/>
    <w:rsid w:val="00206F57"/>
    <w:rsid w:val="00244D9F"/>
    <w:rsid w:val="00286301"/>
    <w:rsid w:val="002B6D46"/>
    <w:rsid w:val="00343558"/>
    <w:rsid w:val="00357144"/>
    <w:rsid w:val="00360F79"/>
    <w:rsid w:val="00367DD3"/>
    <w:rsid w:val="00372235"/>
    <w:rsid w:val="003C6E3A"/>
    <w:rsid w:val="003E544F"/>
    <w:rsid w:val="004121ED"/>
    <w:rsid w:val="00412A41"/>
    <w:rsid w:val="004323C9"/>
    <w:rsid w:val="0045251C"/>
    <w:rsid w:val="00483F5A"/>
    <w:rsid w:val="004B5F92"/>
    <w:rsid w:val="004D3856"/>
    <w:rsid w:val="004D6F30"/>
    <w:rsid w:val="0050005D"/>
    <w:rsid w:val="005204BA"/>
    <w:rsid w:val="0052258A"/>
    <w:rsid w:val="00573416"/>
    <w:rsid w:val="006033BC"/>
    <w:rsid w:val="00613363"/>
    <w:rsid w:val="00615BAC"/>
    <w:rsid w:val="00640783"/>
    <w:rsid w:val="006743EC"/>
    <w:rsid w:val="00674BB7"/>
    <w:rsid w:val="0067619D"/>
    <w:rsid w:val="006911A0"/>
    <w:rsid w:val="006A5663"/>
    <w:rsid w:val="006E4255"/>
    <w:rsid w:val="006E6682"/>
    <w:rsid w:val="00713A52"/>
    <w:rsid w:val="007371A5"/>
    <w:rsid w:val="00742AA9"/>
    <w:rsid w:val="007A6D42"/>
    <w:rsid w:val="007D731A"/>
    <w:rsid w:val="007E384A"/>
    <w:rsid w:val="00804125"/>
    <w:rsid w:val="008453FA"/>
    <w:rsid w:val="00857AA6"/>
    <w:rsid w:val="008F1399"/>
    <w:rsid w:val="00913F54"/>
    <w:rsid w:val="00916DAD"/>
    <w:rsid w:val="009231E6"/>
    <w:rsid w:val="009243D1"/>
    <w:rsid w:val="0093667B"/>
    <w:rsid w:val="00952BED"/>
    <w:rsid w:val="0097118E"/>
    <w:rsid w:val="009C3380"/>
    <w:rsid w:val="00A2071E"/>
    <w:rsid w:val="00A3347C"/>
    <w:rsid w:val="00A72B9C"/>
    <w:rsid w:val="00A938D5"/>
    <w:rsid w:val="00AE60B2"/>
    <w:rsid w:val="00B02FA0"/>
    <w:rsid w:val="00B06C28"/>
    <w:rsid w:val="00B23040"/>
    <w:rsid w:val="00B53B72"/>
    <w:rsid w:val="00B71B4E"/>
    <w:rsid w:val="00B80064"/>
    <w:rsid w:val="00BC6EF4"/>
    <w:rsid w:val="00BD244A"/>
    <w:rsid w:val="00BD31AA"/>
    <w:rsid w:val="00BD5580"/>
    <w:rsid w:val="00BF1761"/>
    <w:rsid w:val="00C36901"/>
    <w:rsid w:val="00C5623D"/>
    <w:rsid w:val="00CA285D"/>
    <w:rsid w:val="00CD6A55"/>
    <w:rsid w:val="00D03B6B"/>
    <w:rsid w:val="00D46677"/>
    <w:rsid w:val="00D66056"/>
    <w:rsid w:val="00D85A98"/>
    <w:rsid w:val="00D94EF5"/>
    <w:rsid w:val="00DC678D"/>
    <w:rsid w:val="00DE626C"/>
    <w:rsid w:val="00E0554C"/>
    <w:rsid w:val="00E20A61"/>
    <w:rsid w:val="00E2316B"/>
    <w:rsid w:val="00E64A6D"/>
    <w:rsid w:val="00EA1F5F"/>
    <w:rsid w:val="00EA5F78"/>
    <w:rsid w:val="00EC678D"/>
    <w:rsid w:val="00ED72D3"/>
    <w:rsid w:val="00EF0364"/>
    <w:rsid w:val="00F42882"/>
    <w:rsid w:val="00F809B5"/>
    <w:rsid w:val="00F8270C"/>
    <w:rsid w:val="00FA16DA"/>
    <w:rsid w:val="00F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28AD"/>
  <w15:chartTrackingRefBased/>
  <w15:docId w15:val="{33E601E9-FC14-449F-9BF2-4910D4D4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25F1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25F1"/>
    <w:pPr>
      <w:keepNext/>
      <w:keepLines/>
      <w:numPr>
        <w:ilvl w:val="1"/>
        <w:numId w:val="9"/>
      </w:numPr>
      <w:spacing w:before="40" w:after="2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25F1"/>
    <w:pPr>
      <w:keepNext/>
      <w:keepLines/>
      <w:numPr>
        <w:ilvl w:val="2"/>
        <w:numId w:val="9"/>
      </w:numPr>
      <w:spacing w:before="40" w:after="2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0554C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5F1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064"/>
    <w:rPr>
      <w:rFonts w:eastAsiaTheme="majorEastAsia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064"/>
    <w:rPr>
      <w:rFonts w:eastAsiaTheme="majorEastAs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54C"/>
    <w:rPr>
      <w:rFonts w:asciiTheme="majorHAnsi" w:eastAsiaTheme="majorEastAsia" w:hAnsiTheme="majorHAnsi" w:cstheme="majorBidi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0A0D05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52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EC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EC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A6D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D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D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D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D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hyperlink" Target="https://intranet.ord.epa.gov/releasing-manuscripts-and-data/epa-scientific-data-management-plans-sdmp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epa.gov/sites/production/files/2016-06/documents/r5-final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2020-07-14T18:13:07+00:00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640EF83456048A4D594961B26B91B" ma:contentTypeVersion="15" ma:contentTypeDescription="Create a new document." ma:contentTypeScope="" ma:versionID="88224fe7a7d656c5b278515958e95a37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2b62c6d0-4849-4e29-98ca-618f815c853d" xmlns:ns6="873eef3d-c45e-416c-9195-e2e1d140b1da" targetNamespace="http://schemas.microsoft.com/office/2006/metadata/properties" ma:root="true" ma:fieldsID="4c637bffc716957e59054f89dde00d43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2b62c6d0-4849-4e29-98ca-618f815c853d"/>
    <xsd:import namespace="873eef3d-c45e-416c-9195-e2e1d140b1da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GenerationTime" minOccurs="0"/>
                <xsd:element ref="ns5:MediaServiceEventHashCode" minOccurs="0"/>
                <xsd:element ref="ns6:SharedWithUsers" minOccurs="0"/>
                <xsd:element ref="ns6:SharedWithDetails" minOccurs="0"/>
                <xsd:element ref="ns1:_ip_UnifiedCompliancePolicyProperties" minOccurs="0"/>
                <xsd:element ref="ns1:_ip_UnifiedCompliancePolicyUIAction" minOccurs="0"/>
                <xsd:element ref="ns5:MediaLengthInSeconds" minOccurs="0"/>
                <xsd:element ref="ns5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3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3a728b9-e3ea-4a3b-ae1f-9b2a1ddcd5c3}" ma:internalName="TaxCatchAllLabel" ma:readOnly="true" ma:showField="CatchAllDataLabel" ma:web="873eef3d-c45e-416c-9195-e2e1d140b1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3a728b9-e3ea-4a3b-ae1f-9b2a1ddcd5c3}" ma:internalName="TaxCatchAll" ma:showField="CatchAllData" ma:web="873eef3d-c45e-416c-9195-e2e1d140b1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2c6d0-4849-4e29-98ca-618f815c8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Location" ma:index="32" nillable="true" ma:displayName="Location" ma:internalName="MediaServiceLocation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4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eef3d-c45e-416c-9195-e2e1d140b1da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5C5B7C-AF69-4FED-B46A-85D073F85A2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4BA13928-2777-49D2-B972-4D6F8B94D64C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</ds:schemaRefs>
</ds:datastoreItem>
</file>

<file path=customXml/itemProps3.xml><?xml version="1.0" encoding="utf-8"?>
<ds:datastoreItem xmlns:ds="http://schemas.openxmlformats.org/officeDocument/2006/customXml" ds:itemID="{7CCB2BB6-1CB8-4A76-9D36-7CFD1063F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2b62c6d0-4849-4e29-98ca-618f815c853d"/>
    <ds:schemaRef ds:uri="873eef3d-c45e-416c-9195-e2e1d140b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61A97D-9DB2-4024-B0F7-7CA119EC80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Marten, Alex</dc:creator>
  <cp:keywords/>
  <dc:description/>
  <cp:lastModifiedBy>Austin, Wes</cp:lastModifiedBy>
  <cp:revision>30</cp:revision>
  <dcterms:created xsi:type="dcterms:W3CDTF">2023-05-23T18:11:00Z</dcterms:created>
  <dcterms:modified xsi:type="dcterms:W3CDTF">2023-07-21T16:55:00Z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0x0101006B5640EF83456048A4D594961B26B91B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</Properties>
</file>