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r>
    </w:p>
    <w:p w:rsidR="00000000" w:rsidDel="00000000" w:rsidP="00000000" w:rsidRDefault="00000000" w:rsidRPr="00000000" w14:paraId="00000001">
      <w:pPr>
        <w:rPr/>
      </w:pPr>
      <w:r w:rsidDel="00000000" w:rsidR="00000000" w:rsidRPr="00000000">
        <w:rPr>
          <w:b w:val="1"/>
          <w:rtl w:val="0"/>
        </w:rPr>
        <w:t xml:space="preserve">Application Name</w:t>
      </w:r>
      <w:r w:rsidDel="00000000" w:rsidR="00000000" w:rsidRPr="00000000">
        <w:rPr>
          <w:rtl w:val="0"/>
        </w:rPr>
        <w:t xml:space="preserve">: Creating variant Bill of Material (BOM) for a Product</w:t>
      </w:r>
    </w:p>
    <w:p w:rsidR="00000000" w:rsidDel="00000000" w:rsidP="00000000" w:rsidRDefault="00000000" w:rsidRPr="00000000" w14:paraId="00000002">
      <w:pPr>
        <w:rPr/>
      </w:pPr>
      <w:r w:rsidDel="00000000" w:rsidR="00000000" w:rsidRPr="00000000">
        <w:rPr>
          <w:b w:val="1"/>
          <w:rtl w:val="0"/>
        </w:rPr>
        <w:t xml:space="preserve">Example</w:t>
      </w:r>
      <w:r w:rsidDel="00000000" w:rsidR="00000000" w:rsidRPr="00000000">
        <w:rPr>
          <w:rtl w:val="0"/>
        </w:rPr>
        <w:t xml:space="preserve">: </w:t>
      </w:r>
      <w:hyperlink r:id="rId6">
        <w:r w:rsidDel="00000000" w:rsidR="00000000" w:rsidRPr="00000000">
          <w:rPr>
            <w:color w:val="0563c1"/>
            <w:u w:val="single"/>
            <w:rtl w:val="0"/>
          </w:rPr>
          <w:t xml:space="preserve">http://build-motorcycle.multitaskdesign.com/</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Requirement Details: </w:t>
      </w:r>
    </w:p>
    <w:p w:rsidR="00000000" w:rsidDel="00000000" w:rsidP="00000000" w:rsidRDefault="00000000" w:rsidRPr="00000000" w14:paraId="00000005">
      <w:pPr>
        <w:spacing w:line="360" w:lineRule="auto"/>
        <w:jc w:val="both"/>
        <w:rPr/>
      </w:pPr>
      <w:r w:rsidDel="00000000" w:rsidR="00000000" w:rsidRPr="00000000">
        <w:rPr>
          <w:rtl w:val="0"/>
        </w:rPr>
        <w:t xml:space="preserve">A Bill of Material (BOM) consists of list of Raw Material or Semi-Finished Materials with quantity required to build one unit of Finished Good. </w:t>
      </w:r>
    </w:p>
    <w:p w:rsidR="00000000" w:rsidDel="00000000" w:rsidP="00000000" w:rsidRDefault="00000000" w:rsidRPr="00000000" w14:paraId="00000006">
      <w:pPr>
        <w:spacing w:line="360" w:lineRule="auto"/>
        <w:jc w:val="both"/>
        <w:rPr/>
      </w:pPr>
      <w:r w:rsidDel="00000000" w:rsidR="00000000" w:rsidRPr="00000000">
        <w:rPr>
          <w:rtl w:val="0"/>
        </w:rPr>
        <w:t xml:space="preserve">There can be scenarios, where same Finished Good can be manufactured from two different processes, and entirely different sets of Raw Materials or Semi-Finished Goods. For example, Ethyl Alcohol can be manufactured from Molasses by fermentation process, or it can also be manufactured from syngas by thermo-chemical reaction. As the end product from either of the processes are same, normally the end product is treated as same Material. However, as the manufacturing process and Raw Materials are different, the Bill of Materials and Production processes are different, the Bill of Materials for these two processes are called “Alternate BOMs”.</w:t>
      </w:r>
    </w:p>
    <w:p w:rsidR="00000000" w:rsidDel="00000000" w:rsidP="00000000" w:rsidRDefault="00000000" w:rsidRPr="00000000" w14:paraId="00000007">
      <w:pPr>
        <w:spacing w:line="360" w:lineRule="auto"/>
        <w:jc w:val="both"/>
        <w:rPr/>
      </w:pPr>
      <w:r w:rsidDel="00000000" w:rsidR="00000000" w:rsidRPr="00000000">
        <w:rPr>
          <w:rtl w:val="0"/>
        </w:rPr>
        <w:t xml:space="preserve">Another scenario could be, where the same product is manufactured using a list of components, where some of the component variants are changed (colour, size, shape etc.), but remaining components remain same, and the production process flow also remains same. In such situation, different BOM’s are called variant BOM’s. It needs to be noted that, the Cost of Good Manufactured would vary depending on the component variants used, though the manufacturing cost remains same. </w:t>
      </w:r>
    </w:p>
    <w:p w:rsidR="00000000" w:rsidDel="00000000" w:rsidP="00000000" w:rsidRDefault="00000000" w:rsidRPr="00000000" w14:paraId="00000008">
      <w:pPr>
        <w:spacing w:line="360" w:lineRule="auto"/>
        <w:jc w:val="both"/>
        <w:rPr/>
      </w:pPr>
      <w:r w:rsidDel="00000000" w:rsidR="00000000" w:rsidRPr="00000000">
        <w:rPr>
          <w:rtl w:val="0"/>
        </w:rPr>
        <w:t xml:space="preserve">The requirement of this application is, the user is allowed to select each component (size, colour, shape) would vary, once section is finalized he is allowed to save a “Variant BOM” for the Finished Good (with his own specifications). </w:t>
      </w:r>
    </w:p>
    <w:p w:rsidR="00000000" w:rsidDel="00000000" w:rsidP="00000000" w:rsidRDefault="00000000" w:rsidRPr="00000000" w14:paraId="00000009">
      <w:pPr>
        <w:spacing w:line="360" w:lineRule="auto"/>
        <w:jc w:val="both"/>
        <w:rPr>
          <w:b w:val="1"/>
        </w:rPr>
      </w:pPr>
      <w:r w:rsidDel="00000000" w:rsidR="00000000" w:rsidRPr="00000000">
        <w:rPr>
          <w:b w:val="1"/>
          <w:rtl w:val="0"/>
        </w:rPr>
        <w:t xml:space="preserve">Data Creation on SAP:</w:t>
      </w:r>
    </w:p>
    <w:p w:rsidR="00000000" w:rsidDel="00000000" w:rsidP="00000000" w:rsidRDefault="00000000" w:rsidRPr="00000000" w14:paraId="0000000A">
      <w:pPr>
        <w:spacing w:line="360" w:lineRule="auto"/>
        <w:jc w:val="both"/>
        <w:rPr/>
      </w:pPr>
      <w:r w:rsidDel="00000000" w:rsidR="00000000" w:rsidRPr="00000000">
        <w:rPr>
          <w:rtl w:val="0"/>
        </w:rPr>
        <w:t xml:space="preserve">For each of the components identified, a “Material Type” needs to be created, and for each variant of the component a “Material” needs to be created. For example, for manufacturing a Bi-Cycle, let’s consider components identified are Handle, Wheel Assembly, Fork and Pedal Assembly. Therefore, the Material Master Data would look like:</w:t>
      </w:r>
    </w:p>
    <w:tbl>
      <w:tblPr>
        <w:tblStyle w:val="Table1"/>
        <w:tblW w:w="9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3544"/>
        <w:gridCol w:w="2409"/>
        <w:gridCol w:w="2254"/>
        <w:tblGridChange w:id="0">
          <w:tblGrid>
            <w:gridCol w:w="846"/>
            <w:gridCol w:w="3544"/>
            <w:gridCol w:w="2409"/>
            <w:gridCol w:w="2254"/>
          </w:tblGrid>
        </w:tblGridChange>
      </w:tblGrid>
      <w:tr>
        <w:tc>
          <w:tcPr/>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Sl No.</w:t>
            </w:r>
          </w:p>
        </w:tc>
        <w:tc>
          <w:tcPr/>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Material Description</w:t>
            </w:r>
          </w:p>
        </w:tc>
        <w:tc>
          <w:tcPr/>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Price</w:t>
            </w:r>
          </w:p>
        </w:tc>
        <w:tc>
          <w:tcPr/>
          <w:p w:rsidR="00000000" w:rsidDel="00000000" w:rsidP="00000000" w:rsidRDefault="00000000" w:rsidRPr="00000000" w14:paraId="0000000E">
            <w:pPr>
              <w:spacing w:line="360" w:lineRule="auto"/>
              <w:jc w:val="center"/>
              <w:rPr>
                <w:b w:val="1"/>
              </w:rPr>
            </w:pPr>
            <w:r w:rsidDel="00000000" w:rsidR="00000000" w:rsidRPr="00000000">
              <w:rPr>
                <w:b w:val="1"/>
                <w:rtl w:val="0"/>
              </w:rPr>
              <w:t xml:space="preserve">Material Type</w:t>
            </w:r>
          </w:p>
        </w:tc>
      </w:tr>
      <w:tr>
        <w:tc>
          <w:tcPr/>
          <w:p w:rsidR="00000000" w:rsidDel="00000000" w:rsidP="00000000" w:rsidRDefault="00000000" w:rsidRPr="00000000" w14:paraId="0000000F">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10">
            <w:pPr>
              <w:spacing w:line="360" w:lineRule="auto"/>
              <w:jc w:val="both"/>
              <w:rPr/>
            </w:pPr>
            <w:r w:rsidDel="00000000" w:rsidR="00000000" w:rsidRPr="00000000">
              <w:rPr>
                <w:rtl w:val="0"/>
              </w:rPr>
              <w:t xml:space="preserve">Handle Bar Steel – Long</w:t>
            </w:r>
          </w:p>
        </w:tc>
        <w:tc>
          <w:tcPr/>
          <w:p w:rsidR="00000000" w:rsidDel="00000000" w:rsidP="00000000" w:rsidRDefault="00000000" w:rsidRPr="00000000" w14:paraId="00000011">
            <w:pPr>
              <w:spacing w:line="360" w:lineRule="auto"/>
              <w:jc w:val="both"/>
              <w:rPr/>
            </w:pPr>
            <w:r w:rsidDel="00000000" w:rsidR="00000000" w:rsidRPr="00000000">
              <w:rPr>
                <w:rtl w:val="0"/>
              </w:rPr>
              <w:t xml:space="preserve">INR 753.00</w:t>
            </w:r>
          </w:p>
        </w:tc>
        <w:tc>
          <w:tcPr/>
          <w:p w:rsidR="00000000" w:rsidDel="00000000" w:rsidP="00000000" w:rsidRDefault="00000000" w:rsidRPr="00000000" w14:paraId="00000012">
            <w:pPr>
              <w:spacing w:line="360" w:lineRule="auto"/>
              <w:jc w:val="both"/>
              <w:rPr/>
            </w:pPr>
            <w:r w:rsidDel="00000000" w:rsidR="00000000" w:rsidRPr="00000000">
              <w:rPr>
                <w:rtl w:val="0"/>
              </w:rPr>
              <w:t xml:space="preserve">Handle</w:t>
            </w:r>
          </w:p>
        </w:tc>
      </w:tr>
      <w:tr>
        <w:tc>
          <w:tcPr/>
          <w:p w:rsidR="00000000" w:rsidDel="00000000" w:rsidP="00000000" w:rsidRDefault="00000000" w:rsidRPr="00000000" w14:paraId="00000013">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14">
            <w:pPr>
              <w:spacing w:line="360" w:lineRule="auto"/>
              <w:jc w:val="both"/>
              <w:rPr/>
            </w:pPr>
            <w:r w:rsidDel="00000000" w:rsidR="00000000" w:rsidRPr="00000000">
              <w:rPr>
                <w:rtl w:val="0"/>
              </w:rPr>
              <w:t xml:space="preserve">Handle Bar Steel – Short</w:t>
            </w:r>
          </w:p>
        </w:tc>
        <w:tc>
          <w:tcPr/>
          <w:p w:rsidR="00000000" w:rsidDel="00000000" w:rsidP="00000000" w:rsidRDefault="00000000" w:rsidRPr="00000000" w14:paraId="00000015">
            <w:pPr>
              <w:spacing w:line="360" w:lineRule="auto"/>
              <w:jc w:val="both"/>
              <w:rPr/>
            </w:pPr>
            <w:r w:rsidDel="00000000" w:rsidR="00000000" w:rsidRPr="00000000">
              <w:rPr>
                <w:rtl w:val="0"/>
              </w:rPr>
              <w:t xml:space="preserve">INR 638.00</w:t>
            </w:r>
          </w:p>
        </w:tc>
        <w:tc>
          <w:tcPr/>
          <w:p w:rsidR="00000000" w:rsidDel="00000000" w:rsidP="00000000" w:rsidRDefault="00000000" w:rsidRPr="00000000" w14:paraId="00000016">
            <w:pPr>
              <w:spacing w:line="360" w:lineRule="auto"/>
              <w:jc w:val="both"/>
              <w:rPr/>
            </w:pPr>
            <w:r w:rsidDel="00000000" w:rsidR="00000000" w:rsidRPr="00000000">
              <w:rPr>
                <w:rtl w:val="0"/>
              </w:rPr>
              <w:t xml:space="preserve">Handle</w:t>
            </w:r>
          </w:p>
        </w:tc>
      </w:tr>
      <w:tr>
        <w:tc>
          <w:tcPr/>
          <w:p w:rsidR="00000000" w:rsidDel="00000000" w:rsidP="00000000" w:rsidRDefault="00000000" w:rsidRPr="00000000" w14:paraId="00000017">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Handle Bar Iron – Black Long</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INR 325.00</w:t>
            </w:r>
          </w:p>
        </w:tc>
        <w:tc>
          <w:tcPr/>
          <w:p w:rsidR="00000000" w:rsidDel="00000000" w:rsidP="00000000" w:rsidRDefault="00000000" w:rsidRPr="00000000" w14:paraId="0000001A">
            <w:pPr>
              <w:spacing w:line="360" w:lineRule="auto"/>
              <w:jc w:val="both"/>
              <w:rPr/>
            </w:pPr>
            <w:r w:rsidDel="00000000" w:rsidR="00000000" w:rsidRPr="00000000">
              <w:rPr>
                <w:rtl w:val="0"/>
              </w:rPr>
              <w:t xml:space="preserve">Handle</w:t>
            </w:r>
          </w:p>
        </w:tc>
      </w:tr>
      <w:tr>
        <w:tc>
          <w:tcPr/>
          <w:p w:rsidR="00000000" w:rsidDel="00000000" w:rsidP="00000000" w:rsidRDefault="00000000" w:rsidRPr="00000000" w14:paraId="0000001B">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Handle Bar – Iron Black – Short</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Rs. 280.00</w:t>
            </w:r>
          </w:p>
        </w:tc>
        <w:tc>
          <w:tcPr/>
          <w:p w:rsidR="00000000" w:rsidDel="00000000" w:rsidP="00000000" w:rsidRDefault="00000000" w:rsidRPr="00000000" w14:paraId="0000001E">
            <w:pPr>
              <w:spacing w:line="360" w:lineRule="auto"/>
              <w:jc w:val="both"/>
              <w:rPr/>
            </w:pPr>
            <w:r w:rsidDel="00000000" w:rsidR="00000000" w:rsidRPr="00000000">
              <w:rPr>
                <w:rtl w:val="0"/>
              </w:rPr>
              <w:t xml:space="preserve">Handle</w:t>
            </w:r>
          </w:p>
        </w:tc>
      </w:tr>
      <w:tr>
        <w:tc>
          <w:tcPr/>
          <w:p w:rsidR="00000000" w:rsidDel="00000000" w:rsidP="00000000" w:rsidRDefault="00000000" w:rsidRPr="00000000" w14:paraId="0000001F">
            <w:pPr>
              <w:spacing w:line="360" w:lineRule="auto"/>
              <w:jc w:val="both"/>
              <w:rPr/>
            </w:pPr>
            <w:r w:rsidDel="00000000" w:rsidR="00000000" w:rsidRPr="00000000">
              <w:rPr>
                <w:rtl w:val="0"/>
              </w:rPr>
              <w:t xml:space="preserve">5</w:t>
            </w:r>
          </w:p>
        </w:tc>
        <w:tc>
          <w:tcPr/>
          <w:p w:rsidR="00000000" w:rsidDel="00000000" w:rsidP="00000000" w:rsidRDefault="00000000" w:rsidRPr="00000000" w14:paraId="00000020">
            <w:pPr>
              <w:spacing w:line="360" w:lineRule="auto"/>
              <w:jc w:val="both"/>
              <w:rPr/>
            </w:pPr>
            <w:r w:rsidDel="00000000" w:rsidR="00000000" w:rsidRPr="00000000">
              <w:rPr>
                <w:rtl w:val="0"/>
              </w:rPr>
              <w:t xml:space="preserve">Tubeless Wheel Assembly 24”</w:t>
            </w:r>
          </w:p>
        </w:tc>
        <w:tc>
          <w:tcPr/>
          <w:p w:rsidR="00000000" w:rsidDel="00000000" w:rsidP="00000000" w:rsidRDefault="00000000" w:rsidRPr="00000000" w14:paraId="00000021">
            <w:pPr>
              <w:spacing w:line="360" w:lineRule="auto"/>
              <w:jc w:val="both"/>
              <w:rPr/>
            </w:pPr>
            <w:r w:rsidDel="00000000" w:rsidR="00000000" w:rsidRPr="00000000">
              <w:rPr>
                <w:rtl w:val="0"/>
              </w:rPr>
              <w:t xml:space="preserve">INR 750.00</w:t>
            </w:r>
          </w:p>
        </w:tc>
        <w:tc>
          <w:tcPr/>
          <w:p w:rsidR="00000000" w:rsidDel="00000000" w:rsidP="00000000" w:rsidRDefault="00000000" w:rsidRPr="00000000" w14:paraId="00000022">
            <w:pPr>
              <w:spacing w:line="360" w:lineRule="auto"/>
              <w:jc w:val="both"/>
              <w:rPr/>
            </w:pPr>
            <w:r w:rsidDel="00000000" w:rsidR="00000000" w:rsidRPr="00000000">
              <w:rPr>
                <w:rtl w:val="0"/>
              </w:rPr>
              <w:t xml:space="preserve">Wheel</w:t>
            </w:r>
          </w:p>
        </w:tc>
      </w:tr>
      <w:tr>
        <w:tc>
          <w:tcPr/>
          <w:p w:rsidR="00000000" w:rsidDel="00000000" w:rsidP="00000000" w:rsidRDefault="00000000" w:rsidRPr="00000000" w14:paraId="00000023">
            <w:pPr>
              <w:spacing w:line="360" w:lineRule="auto"/>
              <w:jc w:val="both"/>
              <w:rPr/>
            </w:pPr>
            <w:r w:rsidDel="00000000" w:rsidR="00000000" w:rsidRPr="00000000">
              <w:rPr>
                <w:rtl w:val="0"/>
              </w:rPr>
              <w:t xml:space="preserve">6</w:t>
            </w:r>
          </w:p>
        </w:tc>
        <w:tc>
          <w:tcPr/>
          <w:p w:rsidR="00000000" w:rsidDel="00000000" w:rsidP="00000000" w:rsidRDefault="00000000" w:rsidRPr="00000000" w14:paraId="00000024">
            <w:pPr>
              <w:spacing w:line="360" w:lineRule="auto"/>
              <w:jc w:val="both"/>
              <w:rPr/>
            </w:pPr>
            <w:r w:rsidDel="00000000" w:rsidR="00000000" w:rsidRPr="00000000">
              <w:rPr>
                <w:rtl w:val="0"/>
              </w:rPr>
              <w:t xml:space="preserve">Tubeless Wheel Assembly 22”</w:t>
            </w:r>
          </w:p>
        </w:tc>
        <w:tc>
          <w:tcPr/>
          <w:p w:rsidR="00000000" w:rsidDel="00000000" w:rsidP="00000000" w:rsidRDefault="00000000" w:rsidRPr="00000000" w14:paraId="00000025">
            <w:pPr>
              <w:spacing w:line="360" w:lineRule="auto"/>
              <w:jc w:val="both"/>
              <w:rPr/>
            </w:pPr>
            <w:r w:rsidDel="00000000" w:rsidR="00000000" w:rsidRPr="00000000">
              <w:rPr>
                <w:rtl w:val="0"/>
              </w:rPr>
              <w:t xml:space="preserve">INR 725.00</w:t>
            </w:r>
          </w:p>
        </w:tc>
        <w:tc>
          <w:tcPr/>
          <w:p w:rsidR="00000000" w:rsidDel="00000000" w:rsidP="00000000" w:rsidRDefault="00000000" w:rsidRPr="00000000" w14:paraId="00000026">
            <w:pPr>
              <w:spacing w:line="360" w:lineRule="auto"/>
              <w:jc w:val="both"/>
              <w:rPr/>
            </w:pPr>
            <w:r w:rsidDel="00000000" w:rsidR="00000000" w:rsidRPr="00000000">
              <w:rPr>
                <w:rtl w:val="0"/>
              </w:rPr>
              <w:t xml:space="preserve">Wheel</w:t>
            </w:r>
          </w:p>
        </w:tc>
      </w:tr>
      <w:tr>
        <w:tc>
          <w:tcPr/>
          <w:p w:rsidR="00000000" w:rsidDel="00000000" w:rsidP="00000000" w:rsidRDefault="00000000" w:rsidRPr="00000000" w14:paraId="00000027">
            <w:pPr>
              <w:spacing w:line="360" w:lineRule="auto"/>
              <w:jc w:val="both"/>
              <w:rPr/>
            </w:pPr>
            <w:r w:rsidDel="00000000" w:rsidR="00000000" w:rsidRPr="00000000">
              <w:rPr>
                <w:rtl w:val="0"/>
              </w:rPr>
              <w:t xml:space="preserve">7</w:t>
            </w:r>
          </w:p>
        </w:tc>
        <w:tc>
          <w:tcPr/>
          <w:p w:rsidR="00000000" w:rsidDel="00000000" w:rsidP="00000000" w:rsidRDefault="00000000" w:rsidRPr="00000000" w14:paraId="00000028">
            <w:pPr>
              <w:spacing w:line="360" w:lineRule="auto"/>
              <w:jc w:val="both"/>
              <w:rPr/>
            </w:pPr>
            <w:r w:rsidDel="00000000" w:rsidR="00000000" w:rsidRPr="00000000">
              <w:rPr>
                <w:rtl w:val="0"/>
              </w:rPr>
              <w:t xml:space="preserve">Wheel Assembly with Tube 24”</w:t>
            </w:r>
          </w:p>
        </w:tc>
        <w:tc>
          <w:tcPr/>
          <w:p w:rsidR="00000000" w:rsidDel="00000000" w:rsidP="00000000" w:rsidRDefault="00000000" w:rsidRPr="00000000" w14:paraId="00000029">
            <w:pPr>
              <w:spacing w:line="360" w:lineRule="auto"/>
              <w:jc w:val="both"/>
              <w:rPr/>
            </w:pPr>
            <w:r w:rsidDel="00000000" w:rsidR="00000000" w:rsidRPr="00000000">
              <w:rPr>
                <w:rtl w:val="0"/>
              </w:rPr>
              <w:t xml:space="preserve">INR. 650.00</w:t>
            </w:r>
          </w:p>
        </w:tc>
        <w:tc>
          <w:tcPr/>
          <w:p w:rsidR="00000000" w:rsidDel="00000000" w:rsidP="00000000" w:rsidRDefault="00000000" w:rsidRPr="00000000" w14:paraId="0000002A">
            <w:pPr>
              <w:spacing w:line="360" w:lineRule="auto"/>
              <w:jc w:val="both"/>
              <w:rPr/>
            </w:pPr>
            <w:r w:rsidDel="00000000" w:rsidR="00000000" w:rsidRPr="00000000">
              <w:rPr>
                <w:rtl w:val="0"/>
              </w:rPr>
              <w:t xml:space="preserve">Wheel</w:t>
            </w:r>
          </w:p>
        </w:tc>
      </w:tr>
      <w:tr>
        <w:tc>
          <w:tcPr/>
          <w:p w:rsidR="00000000" w:rsidDel="00000000" w:rsidP="00000000" w:rsidRDefault="00000000" w:rsidRPr="00000000" w14:paraId="0000002B">
            <w:pPr>
              <w:spacing w:line="360" w:lineRule="auto"/>
              <w:jc w:val="both"/>
              <w:rPr/>
            </w:pPr>
            <w:r w:rsidDel="00000000" w:rsidR="00000000" w:rsidRPr="00000000">
              <w:rPr>
                <w:rtl w:val="0"/>
              </w:rPr>
              <w:t xml:space="preserve">8.</w:t>
            </w:r>
          </w:p>
        </w:tc>
        <w:tc>
          <w:tcPr/>
          <w:p w:rsidR="00000000" w:rsidDel="00000000" w:rsidP="00000000" w:rsidRDefault="00000000" w:rsidRPr="00000000" w14:paraId="0000002C">
            <w:pPr>
              <w:spacing w:line="360" w:lineRule="auto"/>
              <w:jc w:val="both"/>
              <w:rPr/>
            </w:pPr>
            <w:r w:rsidDel="00000000" w:rsidR="00000000" w:rsidRPr="00000000">
              <w:rPr>
                <w:rtl w:val="0"/>
              </w:rPr>
              <w:t xml:space="preserve">Wheel Assembly with Tube 22”</w:t>
            </w:r>
          </w:p>
        </w:tc>
        <w:tc>
          <w:tcPr/>
          <w:p w:rsidR="00000000" w:rsidDel="00000000" w:rsidP="00000000" w:rsidRDefault="00000000" w:rsidRPr="00000000" w14:paraId="0000002D">
            <w:pPr>
              <w:spacing w:line="360" w:lineRule="auto"/>
              <w:jc w:val="both"/>
              <w:rPr/>
            </w:pPr>
            <w:r w:rsidDel="00000000" w:rsidR="00000000" w:rsidRPr="00000000">
              <w:rPr>
                <w:rtl w:val="0"/>
              </w:rPr>
              <w:t xml:space="preserve">INR 600.00</w:t>
            </w:r>
          </w:p>
        </w:tc>
        <w:tc>
          <w:tcPr/>
          <w:p w:rsidR="00000000" w:rsidDel="00000000" w:rsidP="00000000" w:rsidRDefault="00000000" w:rsidRPr="00000000" w14:paraId="0000002E">
            <w:pPr>
              <w:spacing w:line="360" w:lineRule="auto"/>
              <w:jc w:val="both"/>
              <w:rPr/>
            </w:pPr>
            <w:r w:rsidDel="00000000" w:rsidR="00000000" w:rsidRPr="00000000">
              <w:rPr>
                <w:rtl w:val="0"/>
              </w:rPr>
              <w:t xml:space="preserve">Wheel</w:t>
            </w:r>
          </w:p>
        </w:tc>
      </w:tr>
    </w:tbl>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Master Data Bill of Material</w:t>
      </w:r>
    </w:p>
    <w:p w:rsidR="00000000" w:rsidDel="00000000" w:rsidP="00000000" w:rsidRDefault="00000000" w:rsidRPr="00000000" w14:paraId="00000031">
      <w:pPr>
        <w:spacing w:line="360" w:lineRule="auto"/>
        <w:jc w:val="both"/>
        <w:rPr>
          <w:b w:val="1"/>
        </w:rPr>
      </w:pPr>
      <w:r w:rsidDel="00000000" w:rsidR="00000000" w:rsidRPr="00000000">
        <w:rPr>
          <w:b w:val="1"/>
          <w:rtl w:val="0"/>
        </w:rPr>
        <w:t xml:space="preserve">Finished Good Name: </w:t>
      </w:r>
      <w:r w:rsidDel="00000000" w:rsidR="00000000" w:rsidRPr="00000000">
        <w:rPr>
          <w:rtl w:val="0"/>
        </w:rPr>
        <w:t xml:space="preserve">Bi-Cycle</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b w:val="1"/>
          <w:rtl w:val="0"/>
        </w:rPr>
        <w:t xml:space="preserve">BOM Type: </w:t>
      </w:r>
      <w:r w:rsidDel="00000000" w:rsidR="00000000" w:rsidRPr="00000000">
        <w:rPr>
          <w:rtl w:val="0"/>
        </w:rPr>
        <w:t xml:space="preserve">1 (Production BOM)  ** </w:t>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Material Components</w:t>
      </w:r>
    </w:p>
    <w:tbl>
      <w:tblPr>
        <w:tblStyle w:val="Table2"/>
        <w:tblW w:w="9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3544"/>
        <w:gridCol w:w="2409"/>
        <w:gridCol w:w="2254"/>
        <w:tblGridChange w:id="0">
          <w:tblGrid>
            <w:gridCol w:w="846"/>
            <w:gridCol w:w="3544"/>
            <w:gridCol w:w="2409"/>
            <w:gridCol w:w="2254"/>
          </w:tblGrid>
        </w:tblGridChange>
      </w:tblGrid>
      <w:tr>
        <w:tc>
          <w:tcPr/>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Sl No.</w:t>
            </w:r>
          </w:p>
        </w:tc>
        <w:tc>
          <w:tcPr/>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Material Description</w:t>
            </w:r>
          </w:p>
        </w:tc>
        <w:tc>
          <w:tcPr/>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Quantity</w:t>
            </w:r>
          </w:p>
        </w:tc>
        <w:tc>
          <w:tcPr/>
          <w:p w:rsidR="00000000" w:rsidDel="00000000" w:rsidP="00000000" w:rsidRDefault="00000000" w:rsidRPr="00000000" w14:paraId="00000037">
            <w:pPr>
              <w:spacing w:line="360" w:lineRule="auto"/>
              <w:jc w:val="center"/>
              <w:rPr>
                <w:b w:val="1"/>
              </w:rPr>
            </w:pPr>
            <w:r w:rsidDel="00000000" w:rsidR="00000000" w:rsidRPr="00000000">
              <w:rPr>
                <w:b w:val="1"/>
                <w:rtl w:val="0"/>
              </w:rPr>
              <w:t xml:space="preserve">Unit of Measure</w:t>
            </w:r>
          </w:p>
        </w:tc>
      </w:tr>
      <w:tr>
        <w:tc>
          <w:tcPr/>
          <w:p w:rsidR="00000000" w:rsidDel="00000000" w:rsidP="00000000" w:rsidRDefault="00000000" w:rsidRPr="00000000" w14:paraId="00000038">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39">
            <w:pPr>
              <w:spacing w:line="360" w:lineRule="auto"/>
              <w:jc w:val="both"/>
              <w:rPr/>
            </w:pPr>
            <w:r w:rsidDel="00000000" w:rsidR="00000000" w:rsidRPr="00000000">
              <w:rPr>
                <w:rtl w:val="0"/>
              </w:rPr>
              <w:t xml:space="preserve">Handle Bar Steel – Long</w:t>
            </w:r>
          </w:p>
        </w:tc>
        <w:tc>
          <w:tcPr/>
          <w:p w:rsidR="00000000" w:rsidDel="00000000" w:rsidP="00000000" w:rsidRDefault="00000000" w:rsidRPr="00000000" w14:paraId="0000003A">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3B">
            <w:pPr>
              <w:spacing w:line="360" w:lineRule="auto"/>
              <w:jc w:val="center"/>
              <w:rPr/>
            </w:pPr>
            <w:r w:rsidDel="00000000" w:rsidR="00000000" w:rsidRPr="00000000">
              <w:rPr>
                <w:rtl w:val="0"/>
              </w:rPr>
              <w:t xml:space="preserve">PC</w:t>
            </w:r>
          </w:p>
        </w:tc>
      </w:tr>
      <w:tr>
        <w:tc>
          <w:tcPr/>
          <w:p w:rsidR="00000000" w:rsidDel="00000000" w:rsidP="00000000" w:rsidRDefault="00000000" w:rsidRPr="00000000" w14:paraId="0000003C">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3D">
            <w:pPr>
              <w:spacing w:line="360" w:lineRule="auto"/>
              <w:jc w:val="both"/>
              <w:rPr/>
            </w:pPr>
            <w:r w:rsidDel="00000000" w:rsidR="00000000" w:rsidRPr="00000000">
              <w:rPr>
                <w:rtl w:val="0"/>
              </w:rPr>
              <w:t xml:space="preserve">Tubeless Wheel Assembly 24”</w:t>
            </w:r>
          </w:p>
        </w:tc>
        <w:tc>
          <w:tcPr/>
          <w:p w:rsidR="00000000" w:rsidDel="00000000" w:rsidP="00000000" w:rsidRDefault="00000000" w:rsidRPr="00000000" w14:paraId="0000003E">
            <w:pPr>
              <w:spacing w:line="360" w:lineRule="auto"/>
              <w:jc w:val="center"/>
              <w:rPr/>
            </w:pPr>
            <w:r w:rsidDel="00000000" w:rsidR="00000000" w:rsidRPr="00000000">
              <w:rPr>
                <w:rtl w:val="0"/>
              </w:rPr>
              <w:t xml:space="preserve">2</w:t>
            </w:r>
          </w:p>
        </w:tc>
        <w:tc>
          <w:tcPr/>
          <w:p w:rsidR="00000000" w:rsidDel="00000000" w:rsidP="00000000" w:rsidRDefault="00000000" w:rsidRPr="00000000" w14:paraId="0000003F">
            <w:pPr>
              <w:spacing w:line="360" w:lineRule="auto"/>
              <w:jc w:val="center"/>
              <w:rPr/>
            </w:pPr>
            <w:r w:rsidDel="00000000" w:rsidR="00000000" w:rsidRPr="00000000">
              <w:rPr>
                <w:rtl w:val="0"/>
              </w:rPr>
              <w:t xml:space="preserve">PC</w:t>
            </w:r>
          </w:p>
        </w:tc>
      </w:tr>
      <w:tr>
        <w:tc>
          <w:tcPr/>
          <w:p w:rsidR="00000000" w:rsidDel="00000000" w:rsidP="00000000" w:rsidRDefault="00000000" w:rsidRPr="00000000" w14:paraId="00000040">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41">
            <w:pPr>
              <w:spacing w:line="360" w:lineRule="auto"/>
              <w:jc w:val="both"/>
              <w:rPr/>
            </w:pPr>
            <w:r w:rsidDel="00000000" w:rsidR="00000000" w:rsidRPr="00000000">
              <w:rPr>
                <w:rtl w:val="0"/>
              </w:rPr>
              <w:t xml:space="preserve">Fork – Steel Black</w:t>
            </w:r>
          </w:p>
        </w:tc>
        <w:tc>
          <w:tcPr/>
          <w:p w:rsidR="00000000" w:rsidDel="00000000" w:rsidP="00000000" w:rsidRDefault="00000000" w:rsidRPr="00000000" w14:paraId="00000042">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43">
            <w:pPr>
              <w:spacing w:line="360" w:lineRule="auto"/>
              <w:jc w:val="center"/>
              <w:rPr/>
            </w:pPr>
            <w:r w:rsidDel="00000000" w:rsidR="00000000" w:rsidRPr="00000000">
              <w:rPr>
                <w:rtl w:val="0"/>
              </w:rPr>
              <w:t xml:space="preserve">PC</w:t>
            </w:r>
          </w:p>
        </w:tc>
      </w:tr>
      <w:tr>
        <w:tc>
          <w:tcPr/>
          <w:p w:rsidR="00000000" w:rsidDel="00000000" w:rsidP="00000000" w:rsidRDefault="00000000" w:rsidRPr="00000000" w14:paraId="00000044">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45">
            <w:pPr>
              <w:spacing w:line="360" w:lineRule="auto"/>
              <w:jc w:val="both"/>
              <w:rPr/>
            </w:pPr>
            <w:r w:rsidDel="00000000" w:rsidR="00000000" w:rsidRPr="00000000">
              <w:rPr>
                <w:rtl w:val="0"/>
              </w:rPr>
              <w:t xml:space="preserve">Pedal Assembly</w:t>
            </w:r>
          </w:p>
        </w:tc>
        <w:tc>
          <w:tcPr/>
          <w:p w:rsidR="00000000" w:rsidDel="00000000" w:rsidP="00000000" w:rsidRDefault="00000000" w:rsidRPr="00000000" w14:paraId="00000046">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47">
            <w:pPr>
              <w:spacing w:line="360" w:lineRule="auto"/>
              <w:jc w:val="center"/>
              <w:rPr/>
            </w:pPr>
            <w:r w:rsidDel="00000000" w:rsidR="00000000" w:rsidRPr="00000000">
              <w:rPr>
                <w:rtl w:val="0"/>
              </w:rPr>
              <w:t xml:space="preserve">PC</w:t>
            </w:r>
          </w:p>
        </w:tc>
      </w:tr>
    </w:tbl>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t xml:space="preserve">** Any BOM created afterwards for the same material would be created as BOM Type 2 (Design BOM), while manufacturing the required BOM needs to be changed to Production BOM. </w:t>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Front End Display:</w:t>
      </w:r>
    </w:p>
    <w:p w:rsidR="00000000" w:rsidDel="00000000" w:rsidP="00000000" w:rsidRDefault="00000000" w:rsidRPr="00000000" w14:paraId="0000004B">
      <w:pPr>
        <w:spacing w:line="360" w:lineRule="auto"/>
        <w:jc w:val="both"/>
        <w:rPr/>
      </w:pPr>
      <w:r w:rsidDel="00000000" w:rsidR="00000000" w:rsidRPr="00000000">
        <w:rPr>
          <w:rtl w:val="0"/>
        </w:rPr>
        <w:t xml:space="preserve">As the component types are known, for each of the component a pull down list can be designed. List header would be “Material Type” already created. For example:</w:t>
      </w:r>
    </w:p>
    <w:tbl>
      <w:tblPr>
        <w:tblStyle w:val="Table3"/>
        <w:tblW w:w="4111.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tblGridChange w:id="0">
          <w:tblGrid>
            <w:gridCol w:w="4111"/>
          </w:tblGrid>
        </w:tblGridChange>
      </w:tblGrid>
      <w:tr>
        <w:tc>
          <w:tcPr>
            <w:shd w:fill="d0cece" w:val="clear"/>
          </w:tcPr>
          <w:p w:rsidR="00000000" w:rsidDel="00000000" w:rsidP="00000000" w:rsidRDefault="00000000" w:rsidRPr="00000000" w14:paraId="0000004C">
            <w:pPr>
              <w:spacing w:line="360" w:lineRule="auto"/>
              <w:jc w:val="center"/>
              <w:rPr>
                <w:b w:val="1"/>
              </w:rPr>
            </w:pPr>
            <w:r w:rsidDel="00000000" w:rsidR="00000000" w:rsidRPr="00000000">
              <w:rPr>
                <w:b w:val="1"/>
                <w:rtl w:val="0"/>
              </w:rPr>
              <w:t xml:space="preserve">Handle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25400</wp:posOffset>
                      </wp:positionV>
                      <wp:extent cx="174625" cy="184150"/>
                      <wp:effectExtent b="0" l="0" r="0" t="0"/>
                      <wp:wrapNone/>
                      <wp:docPr id="2" name=""/>
                      <a:graphic>
                        <a:graphicData uri="http://schemas.microsoft.com/office/word/2010/wordprocessingShape">
                          <wps:wsp>
                            <wps:cNvSpPr/>
                            <wps:cNvPr id="3" name="Shape 3"/>
                            <wps:spPr>
                              <a:xfrm>
                                <a:off x="5265038" y="3694275"/>
                                <a:ext cx="161925" cy="171450"/>
                              </a:xfrm>
                              <a:prstGeom prst="down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25400</wp:posOffset>
                      </wp:positionV>
                      <wp:extent cx="174625" cy="1841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4625" cy="184150"/>
                              </a:xfrm>
                              <a:prstGeom prst="rect"/>
                              <a:ln/>
                            </pic:spPr>
                          </pic:pic>
                        </a:graphicData>
                      </a:graphic>
                    </wp:anchor>
                  </w:drawing>
                </mc:Fallback>
              </mc:AlternateContent>
            </w:r>
          </w:p>
        </w:tc>
      </w:tr>
      <w:tr>
        <w:tc>
          <w:tcPr/>
          <w:p w:rsidR="00000000" w:rsidDel="00000000" w:rsidP="00000000" w:rsidRDefault="00000000" w:rsidRPr="00000000" w14:paraId="0000004D">
            <w:pPr>
              <w:spacing w:line="360" w:lineRule="auto"/>
              <w:jc w:val="both"/>
              <w:rPr/>
            </w:pPr>
            <w:r w:rsidDel="00000000" w:rsidR="00000000" w:rsidRPr="00000000">
              <w:rPr>
                <w:rtl w:val="0"/>
              </w:rPr>
              <w:t xml:space="preserve">Handle Bar – Steel Short</w:t>
            </w:r>
          </w:p>
          <w:p w:rsidR="00000000" w:rsidDel="00000000" w:rsidP="00000000" w:rsidRDefault="00000000" w:rsidRPr="00000000" w14:paraId="0000004E">
            <w:pPr>
              <w:spacing w:line="360" w:lineRule="auto"/>
              <w:jc w:val="both"/>
              <w:rPr/>
            </w:pPr>
            <w:r w:rsidDel="00000000" w:rsidR="00000000" w:rsidRPr="00000000">
              <w:rPr>
                <w:rtl w:val="0"/>
              </w:rPr>
              <w:t xml:space="preserve">Handle Bar – Steel Long</w:t>
            </w:r>
          </w:p>
          <w:p w:rsidR="00000000" w:rsidDel="00000000" w:rsidP="00000000" w:rsidRDefault="00000000" w:rsidRPr="00000000" w14:paraId="0000004F">
            <w:pPr>
              <w:spacing w:line="360" w:lineRule="auto"/>
              <w:jc w:val="both"/>
              <w:rPr/>
            </w:pPr>
            <w:r w:rsidDel="00000000" w:rsidR="00000000" w:rsidRPr="00000000">
              <w:rPr>
                <w:rtl w:val="0"/>
              </w:rPr>
              <w:t xml:space="preserve">Handle Bar – Iron Black Long</w:t>
            </w:r>
          </w:p>
          <w:p w:rsidR="00000000" w:rsidDel="00000000" w:rsidP="00000000" w:rsidRDefault="00000000" w:rsidRPr="00000000" w14:paraId="00000050">
            <w:pPr>
              <w:spacing w:line="360" w:lineRule="auto"/>
              <w:jc w:val="both"/>
              <w:rPr/>
            </w:pPr>
            <w:r w:rsidDel="00000000" w:rsidR="00000000" w:rsidRPr="00000000">
              <w:rPr>
                <w:rtl w:val="0"/>
              </w:rPr>
              <w:t xml:space="preserve">Handle Bar – Iron Black Short</w:t>
            </w:r>
          </w:p>
        </w:tc>
      </w:tr>
    </w:tbl>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bookmarkStart w:colFirst="0" w:colLast="0" w:name="_gjdgxs" w:id="0"/>
      <w:bookmarkEnd w:id="0"/>
      <w:r w:rsidDel="00000000" w:rsidR="00000000" w:rsidRPr="00000000">
        <w:rPr>
          <w:rtl w:val="0"/>
        </w:rPr>
        <w:t xml:space="preserve">Based on the Material Selected, a Variant BOM needs to be saved for the Material “Bi-Cycle” </w:t>
      </w:r>
    </w:p>
    <w:p w:rsidR="00000000" w:rsidDel="00000000" w:rsidP="00000000" w:rsidRDefault="00000000" w:rsidRPr="00000000" w14:paraId="00000053">
      <w:pPr>
        <w:spacing w:line="360" w:lineRule="auto"/>
        <w:rPr/>
      </w:pPr>
      <w:r w:rsidDel="00000000" w:rsidR="00000000" w:rsidRPr="00000000">
        <w:rPr>
          <w:rtl w:val="0"/>
        </w:rPr>
      </w:r>
    </w:p>
    <w:sectPr>
      <w:headerReference r:id="rId8"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FUNCTIONAL SPECIFICATION</w:t>
                          </w:r>
                        </w:p>
                      </w:txbxContent>
                    </wps:txbx>
                    <wps:bodyPr anchorCtr="0" anchor="ctr" bIns="45700" lIns="91425" spcFirstLastPara="1" rIns="91425" wrap="square" tIns="45700"/>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uild-motorcycle.multitaskdesign.com/"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