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F75B5"/>
          <w:sz w:val="32"/>
        </w:rPr>
        <w:t>MEALS MODULE</w:t>
      </w:r>
    </w:p>
    <w:p>
      <w:pPr>
        <w:pStyle w:val="Title"/>
        <w:jc w:val="center"/>
      </w:pPr>
      <w:r>
        <w:t>Implementation Plan</w:t>
      </w:r>
    </w:p>
    <w:p>
      <w:pPr>
        <w:jc w:val="center"/>
      </w:pPr>
      <w:r>
        <w:rPr>
          <w:color w:val="5A5A5A"/>
          <w:sz w:val="30"/>
        </w:rPr>
        <w:t>HomeMaintenanceApp</w:t>
      </w:r>
    </w:p>
    <w:p>
      <w:pPr>
        <w:spacing w:before="280"/>
        <w:jc w:val="center"/>
      </w:pPr>
      <w:r>
        <w:rPr>
          <w:i/>
          <w:sz w:val="20"/>
        </w:rPr>
        <w:t>v1.0  |  Controlled execution baseline</w:t>
      </w:r>
    </w:p>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D9EAF7"/>
            <w:tcMar>
              <w:top w:w="90" w:type="dxa"/>
              <w:start w:w="100" w:type="dxa"/>
              <w:bottom w:w="90" w:type="dxa"/>
              <w:end w:w="100" w:type="dxa"/>
            </w:tcMar>
          </w:tcPr>
          <w:p>
            <w:r>
              <w:rPr>
                <w:b/>
              </w:rPr>
              <w:t>Requirements</w:t>
            </w:r>
          </w:p>
        </w:tc>
        <w:tc>
          <w:tcPr>
            <w:tcW w:type="dxa" w:w="5112"/>
            <w:tcMar>
              <w:top w:w="90" w:type="dxa"/>
              <w:start w:w="100" w:type="dxa"/>
              <w:bottom w:w="90" w:type="dxa"/>
              <w:end w:w="100" w:type="dxa"/>
            </w:tcMar>
          </w:tcPr>
          <w:p>
            <w:r>
              <w:t>Meals_Module_Product_and_Functional_Requirements_v0.3.docx</w:t>
            </w:r>
          </w:p>
        </w:tc>
      </w:tr>
      <w:tr>
        <w:trPr>
          <w:cantSplit/>
        </w:trPr>
        <w:tc>
          <w:tcPr>
            <w:tcW w:type="dxa" w:w="5112"/>
            <w:shd w:fill="D9EAF7"/>
            <w:tcMar>
              <w:top w:w="90" w:type="dxa"/>
              <w:start w:w="100" w:type="dxa"/>
              <w:bottom w:w="90" w:type="dxa"/>
              <w:end w:w="100" w:type="dxa"/>
            </w:tcMar>
          </w:tcPr>
          <w:p>
            <w:r>
              <w:rPr>
                <w:b/>
              </w:rPr>
              <w:t>Acceptance</w:t>
            </w:r>
          </w:p>
        </w:tc>
        <w:tc>
          <w:tcPr>
            <w:tcW w:type="dxa" w:w="5112"/>
            <w:tcMar>
              <w:top w:w="90" w:type="dxa"/>
              <w:start w:w="100" w:type="dxa"/>
              <w:bottom w:w="90" w:type="dxa"/>
              <w:end w:w="100" w:type="dxa"/>
            </w:tcMar>
          </w:tcPr>
          <w:p>
            <w:r>
              <w:t>Meals Acceptance Checklist v1.0.xlsx</w:t>
            </w:r>
          </w:p>
        </w:tc>
      </w:tr>
      <w:tr>
        <w:trPr>
          <w:cantSplit/>
        </w:trPr>
        <w:tc>
          <w:tcPr>
            <w:tcW w:type="dxa" w:w="5112"/>
            <w:shd w:fill="D9EAF7"/>
            <w:tcMar>
              <w:top w:w="90" w:type="dxa"/>
              <w:start w:w="100" w:type="dxa"/>
              <w:bottom w:w="90" w:type="dxa"/>
              <w:end w:w="100" w:type="dxa"/>
            </w:tcMar>
          </w:tcPr>
          <w:p>
            <w:r>
              <w:rPr>
                <w:b/>
              </w:rPr>
              <w:t>Protocol</w:t>
            </w:r>
          </w:p>
        </w:tc>
        <w:tc>
          <w:tcPr>
            <w:tcW w:type="dxa" w:w="5112"/>
            <w:tcMar>
              <w:top w:w="90" w:type="dxa"/>
              <w:start w:w="100" w:type="dxa"/>
              <w:bottom w:w="90" w:type="dxa"/>
              <w:end w:w="100" w:type="dxa"/>
            </w:tcMar>
          </w:tcPr>
          <w:p>
            <w:r>
              <w:t>Acceptance Workbook Update Protocol.md</w:t>
            </w:r>
          </w:p>
        </w:tc>
      </w:tr>
      <w:tr>
        <w:trPr>
          <w:cantSplit/>
        </w:trPr>
        <w:tc>
          <w:tcPr>
            <w:tcW w:type="dxa" w:w="5112"/>
            <w:shd w:fill="D9EAF7"/>
            <w:tcMar>
              <w:top w:w="90" w:type="dxa"/>
              <w:start w:w="100" w:type="dxa"/>
              <w:bottom w:w="90" w:type="dxa"/>
              <w:end w:w="100" w:type="dxa"/>
            </w:tcMar>
          </w:tcPr>
          <w:p>
            <w:r>
              <w:rPr>
                <w:b/>
              </w:rPr>
              <w:t>Import</w:t>
            </w:r>
          </w:p>
        </w:tc>
        <w:tc>
          <w:tcPr>
            <w:tcW w:type="dxa" w:w="5112"/>
            <w:tcMar>
              <w:top w:w="90" w:type="dxa"/>
              <w:start w:w="100" w:type="dxa"/>
              <w:bottom w:w="90" w:type="dxa"/>
              <w:end w:w="100" w:type="dxa"/>
            </w:tcMar>
          </w:tcPr>
          <w:p>
            <w:r>
              <w:t>Decision Pending; investigate after Phase 1 acceptance</w:t>
            </w:r>
          </w:p>
        </w:tc>
      </w:tr>
    </w:tbl>
    <w:p>
      <w:r>
        <w:br w:type="page"/>
      </w:r>
    </w:p>
    <w:p>
      <w:pPr>
        <w:pStyle w:val="Heading1"/>
      </w:pPr>
      <w:r>
        <w:t>1. Purpose and operating model</w:t>
      </w:r>
    </w:p>
    <w:p>
      <w:r>
        <w:t>This plan translates the approved Meals requirements baseline into phased, repository-aware assignments for GitHub Copilot in VS Code. The owner is not expected to write application code that Copilot can perform. Copilot should inspect, implement, test, document, and update technical acceptance evidence; the owner provides explicit production-change authorization and final product acceptance.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vAlign w:val="center"/>
          </w:tcPr>
          <w:p>
            <w:r>
              <w:rPr>
                <w:b/>
                <w:color w:val="FFFFFF"/>
                <w:sz w:val="16"/>
              </w:rPr>
              <w:t>Artifact</w:t>
            </w:r>
          </w:p>
        </w:tc>
        <w:tc>
          <w:tcPr>
            <w:tcW w:type="dxa" w:w="6912"/>
            <w:shd w:fill="1F4E78"/>
            <w:tcMar>
              <w:top w:w="90" w:type="dxa"/>
              <w:start w:w="100" w:type="dxa"/>
              <w:bottom w:w="90" w:type="dxa"/>
              <w:end w:w="100" w:type="dxa"/>
            </w:tcMar>
            <w:vAlign w:val="center"/>
          </w:tcPr>
          <w:p>
            <w:r>
              <w:rPr>
                <w:b/>
                <w:color w:val="FFFFFF"/>
                <w:sz w:val="16"/>
              </w:rPr>
              <w:t>Role in implementation</w:t>
            </w:r>
          </w:p>
        </w:tc>
      </w:tr>
      <w:tr>
        <w:trPr>
          <w:cantSplit/>
        </w:trPr>
        <w:tc>
          <w:tcPr>
            <w:tcW w:type="dxa" w:w="2880"/>
            <w:tcMar>
              <w:top w:w="90" w:type="dxa"/>
              <w:start w:w="100" w:type="dxa"/>
              <w:bottom w:w="90" w:type="dxa"/>
              <w:end w:w="100" w:type="dxa"/>
            </w:tcMar>
            <w:vAlign w:val="center"/>
          </w:tcPr>
          <w:p>
            <w:r>
              <w:rPr>
                <w:sz w:val="16"/>
              </w:rPr>
              <w:t>Requirements v0.3</w:t>
            </w:r>
          </w:p>
        </w:tc>
        <w:tc>
          <w:tcPr>
            <w:tcW w:type="dxa" w:w="6912"/>
            <w:tcMar>
              <w:top w:w="90" w:type="dxa"/>
              <w:start w:w="100" w:type="dxa"/>
              <w:bottom w:w="90" w:type="dxa"/>
              <w:end w:w="100" w:type="dxa"/>
            </w:tcMar>
            <w:vAlign w:val="center"/>
          </w:tcPr>
          <w:p>
            <w:r>
              <w:rPr>
                <w:sz w:val="16"/>
              </w:rPr>
              <w:t>Authoritative statement of product, functional, persistence, security, and integration requirements.</w:t>
            </w:r>
          </w:p>
        </w:tc>
      </w:tr>
      <w:tr>
        <w:trPr>
          <w:cantSplit/>
        </w:trPr>
        <w:tc>
          <w:tcPr>
            <w:tcW w:type="dxa" w:w="2880"/>
            <w:tcMar>
              <w:top w:w="90" w:type="dxa"/>
              <w:start w:w="100" w:type="dxa"/>
              <w:bottom w:w="90" w:type="dxa"/>
              <w:end w:w="100" w:type="dxa"/>
            </w:tcMar>
            <w:vAlign w:val="center"/>
          </w:tcPr>
          <w:p>
            <w:r>
              <w:rPr>
                <w:sz w:val="16"/>
              </w:rPr>
              <w:t>Acceptance Checklist v1.0</w:t>
            </w:r>
          </w:p>
        </w:tc>
        <w:tc>
          <w:tcPr>
            <w:tcW w:type="dxa" w:w="6912"/>
            <w:tcMar>
              <w:top w:w="90" w:type="dxa"/>
              <w:start w:w="100" w:type="dxa"/>
              <w:bottom w:w="90" w:type="dxa"/>
              <w:end w:w="100" w:type="dxa"/>
            </w:tcMar>
            <w:vAlign w:val="center"/>
          </w:tcPr>
          <w:p>
            <w:r>
              <w:rPr>
                <w:sz w:val="16"/>
              </w:rPr>
              <w:t>Controlled test/evidence ledger and phase sign-off record.</w:t>
            </w:r>
          </w:p>
        </w:tc>
      </w:tr>
      <w:tr>
        <w:trPr>
          <w:cantSplit/>
        </w:trPr>
        <w:tc>
          <w:tcPr>
            <w:tcW w:type="dxa" w:w="2880"/>
            <w:tcMar>
              <w:top w:w="90" w:type="dxa"/>
              <w:start w:w="100" w:type="dxa"/>
              <w:bottom w:w="90" w:type="dxa"/>
              <w:end w:w="100" w:type="dxa"/>
            </w:tcMar>
            <w:vAlign w:val="center"/>
          </w:tcPr>
          <w:p>
            <w:r>
              <w:rPr>
                <w:sz w:val="16"/>
              </w:rPr>
              <w:t>Workbook Update Protocol</w:t>
            </w:r>
          </w:p>
        </w:tc>
        <w:tc>
          <w:tcPr>
            <w:tcW w:type="dxa" w:w="6912"/>
            <w:tcMar>
              <w:top w:w="90" w:type="dxa"/>
              <w:start w:w="100" w:type="dxa"/>
              <w:bottom w:w="90" w:type="dxa"/>
              <w:end w:w="100" w:type="dxa"/>
            </w:tcMar>
            <w:vAlign w:val="center"/>
          </w:tcPr>
          <w:p>
            <w:r>
              <w:rPr>
                <w:sz w:val="16"/>
              </w:rPr>
              <w:t>Standing rules governing Copilot updates to the acceptance workbook.</w:t>
            </w:r>
          </w:p>
        </w:tc>
      </w:tr>
      <w:tr>
        <w:trPr>
          <w:cantSplit/>
        </w:trPr>
        <w:tc>
          <w:tcPr>
            <w:tcW w:type="dxa" w:w="2880"/>
            <w:tcMar>
              <w:top w:w="90" w:type="dxa"/>
              <w:start w:w="100" w:type="dxa"/>
              <w:bottom w:w="90" w:type="dxa"/>
              <w:end w:w="100" w:type="dxa"/>
            </w:tcMar>
            <w:vAlign w:val="center"/>
          </w:tcPr>
          <w:p>
            <w:r>
              <w:rPr>
                <w:sz w:val="16"/>
              </w:rPr>
              <w:t>This plan</w:t>
            </w:r>
          </w:p>
        </w:tc>
        <w:tc>
          <w:tcPr>
            <w:tcW w:type="dxa" w:w="6912"/>
            <w:tcMar>
              <w:top w:w="90" w:type="dxa"/>
              <w:start w:w="100" w:type="dxa"/>
              <w:bottom w:w="90" w:type="dxa"/>
              <w:end w:w="100" w:type="dxa"/>
            </w:tcMar>
            <w:vAlign w:val="center"/>
          </w:tcPr>
          <w:p>
            <w:r>
              <w:rPr>
                <w:sz w:val="16"/>
              </w:rPr>
              <w:t>Execution order, phase boundaries, gates, responsibilities, and VS Code Copilot task structure.</w:t>
            </w:r>
          </w:p>
        </w:tc>
      </w:tr>
    </w:tbl>
    <w:p/>
    <w:p>
      <w:pPr>
        <w:pStyle w:val="Heading2"/>
      </w:pPr>
      <w:r>
        <w:t>1.1 Responsibility labels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8"/>
            <w:tcMar>
              <w:top w:w="90" w:type="dxa"/>
              <w:start w:w="100" w:type="dxa"/>
              <w:bottom w:w="90" w:type="dxa"/>
              <w:end w:w="100" w:type="dxa"/>
            </w:tcMar>
            <w:vAlign w:val="center"/>
          </w:tcPr>
          <w:p>
            <w:r>
              <w:rPr>
                <w:b/>
                <w:color w:val="FFFFFF"/>
                <w:sz w:val="16"/>
              </w:rPr>
              <w:t>Label</w:t>
            </w:r>
          </w:p>
        </w:tc>
        <w:tc>
          <w:tcPr>
            <w:tcW w:type="dxa" w:w="7632"/>
            <w:shd w:fill="1F4E78"/>
            <w:tcMar>
              <w:top w:w="90" w:type="dxa"/>
              <w:start w:w="100" w:type="dxa"/>
              <w:bottom w:w="90" w:type="dxa"/>
              <w:end w:w="100" w:type="dxa"/>
            </w:tcMar>
            <w:vAlign w:val="center"/>
          </w:tcPr>
          <w:p>
            <w:r>
              <w:rPr>
                <w:b/>
                <w:color w:val="FFFFFF"/>
                <w:sz w:val="16"/>
              </w:rPr>
              <w:t>Meaning</w:t>
            </w:r>
          </w:p>
        </w:tc>
      </w:tr>
      <w:tr>
        <w:trPr>
          <w:cantSplit/>
        </w:trPr>
        <w:tc>
          <w:tcPr>
            <w:tcW w:type="dxa" w:w="2160"/>
            <w:tcMar>
              <w:top w:w="90" w:type="dxa"/>
              <w:start w:w="100" w:type="dxa"/>
              <w:bottom w:w="90" w:type="dxa"/>
              <w:end w:w="100" w:type="dxa"/>
            </w:tcMar>
            <w:vAlign w:val="center"/>
          </w:tcPr>
          <w:p>
            <w:r>
              <w:rPr>
                <w:sz w:val="16"/>
              </w:rPr>
              <w:t>COPILOT</w:t>
            </w:r>
          </w:p>
        </w:tc>
        <w:tc>
          <w:tcPr>
            <w:tcW w:type="dxa" w:w="7632"/>
            <w:tcMar>
              <w:top w:w="90" w:type="dxa"/>
              <w:start w:w="100" w:type="dxa"/>
              <w:bottom w:w="90" w:type="dxa"/>
              <w:end w:w="100" w:type="dxa"/>
            </w:tcMar>
            <w:vAlign w:val="center"/>
          </w:tcPr>
          <w:p>
            <w:r>
              <w:rPr>
                <w:sz w:val="16"/>
              </w:rPr>
              <w:t>Repository inspection; code/migration authoring; automated tests; build/lint; approved read-only production inspection; technical evidence; workbook technical updates.</w:t>
            </w:r>
          </w:p>
        </w:tc>
      </w:tr>
      <w:tr>
        <w:trPr>
          <w:cantSplit/>
        </w:trPr>
        <w:tc>
          <w:tcPr>
            <w:tcW w:type="dxa" w:w="2160"/>
            <w:tcMar>
              <w:top w:w="90" w:type="dxa"/>
              <w:start w:w="100" w:type="dxa"/>
              <w:bottom w:w="90" w:type="dxa"/>
              <w:end w:w="100" w:type="dxa"/>
            </w:tcMar>
            <w:vAlign w:val="center"/>
          </w:tcPr>
          <w:p>
            <w:r>
              <w:rPr>
                <w:sz w:val="16"/>
              </w:rPr>
              <w:t>USER AUTHORIZATION</w:t>
            </w:r>
          </w:p>
        </w:tc>
        <w:tc>
          <w:tcPr>
            <w:tcW w:type="dxa" w:w="7632"/>
            <w:tcMar>
              <w:top w:w="90" w:type="dxa"/>
              <w:start w:w="100" w:type="dxa"/>
              <w:bottom w:w="90" w:type="dxa"/>
              <w:end w:w="100" w:type="dxa"/>
            </w:tcMar>
            <w:vAlign w:val="center"/>
          </w:tcPr>
          <w:p>
            <w:r>
              <w:rPr>
                <w:sz w:val="16"/>
              </w:rPr>
              <w:t>Explicit authorization for the exact production-changing SQL/migration. Authorization does not carry forward to later changes.</w:t>
            </w:r>
          </w:p>
        </w:tc>
      </w:tr>
      <w:tr>
        <w:trPr>
          <w:cantSplit/>
        </w:trPr>
        <w:tc>
          <w:tcPr>
            <w:tcW w:type="dxa" w:w="2160"/>
            <w:tcMar>
              <w:top w:w="90" w:type="dxa"/>
              <w:start w:w="100" w:type="dxa"/>
              <w:bottom w:w="90" w:type="dxa"/>
              <w:end w:w="100" w:type="dxa"/>
            </w:tcMar>
            <w:vAlign w:val="center"/>
          </w:tcPr>
          <w:p>
            <w:r>
              <w:rPr>
                <w:sz w:val="16"/>
              </w:rPr>
              <w:t>MANUAL</w:t>
            </w:r>
          </w:p>
        </w:tc>
        <w:tc>
          <w:tcPr>
            <w:tcW w:type="dxa" w:w="7632"/>
            <w:tcMar>
              <w:top w:w="90" w:type="dxa"/>
              <w:start w:w="100" w:type="dxa"/>
              <w:bottom w:w="90" w:type="dxa"/>
              <w:end w:w="100" w:type="dxa"/>
            </w:tcMar>
            <w:vAlign w:val="center"/>
          </w:tcPr>
          <w:p>
            <w:r>
              <w:rPr>
                <w:sz w:val="16"/>
              </w:rPr>
              <w:t>Only unavoidable human actions such as direct sign-in when an authenticated session expires.</w:t>
            </w:r>
          </w:p>
        </w:tc>
      </w:tr>
      <w:tr>
        <w:trPr>
          <w:cantSplit/>
        </w:trPr>
        <w:tc>
          <w:tcPr>
            <w:tcW w:type="dxa" w:w="2160"/>
            <w:tcMar>
              <w:top w:w="90" w:type="dxa"/>
              <w:start w:w="100" w:type="dxa"/>
              <w:bottom w:w="90" w:type="dxa"/>
              <w:end w:w="100" w:type="dxa"/>
            </w:tcMar>
            <w:vAlign w:val="center"/>
          </w:tcPr>
          <w:p>
            <w:r>
              <w:rPr>
                <w:sz w:val="16"/>
              </w:rPr>
              <w:t>VERIFY</w:t>
            </w:r>
          </w:p>
        </w:tc>
        <w:tc>
          <w:tcPr>
            <w:tcW w:type="dxa" w:w="7632"/>
            <w:tcMar>
              <w:top w:w="90" w:type="dxa"/>
              <w:start w:w="100" w:type="dxa"/>
              <w:bottom w:w="90" w:type="dxa"/>
              <w:end w:w="100" w:type="dxa"/>
            </w:tcMar>
            <w:vAlign w:val="center"/>
          </w:tcPr>
          <w:p>
            <w:r>
              <w:rPr>
                <w:sz w:val="16"/>
              </w:rPr>
              <w:t>Owner product/UAT judgment, Pass with Known Issue approval, and final Phase Sign-Off.</w:t>
            </w:r>
          </w:p>
        </w:tc>
      </w:tr>
    </w:tbl>
    <w:p/>
    <w:p>
      <w:pPr>
        <w:pStyle w:val="Heading2"/>
      </w:pPr>
      <w:r>
        <w:t>1.2 Non-negotiable implementation rules</w:t>
      </w:r>
    </w:p>
    <w:p>
      <w:pPr>
        <w:pStyle w:val="ListBullet"/>
      </w:pPr>
      <w:r>
        <w:t>Use the current repository as the source of truth for implementation details; do not implement against remembered historical architecture.</w:t>
      </w:r>
    </w:p>
    <w:p>
      <w:pPr>
        <w:pStyle w:val="ListBullet"/>
      </w:pPr>
      <w:r>
        <w:t>Use the existing single-owner Supabase Auth/RLS model and exact human-owner authorization. Do not weaken owner authorization to generic authenticated access.</w:t>
      </w:r>
    </w:p>
    <w:p>
      <w:pPr>
        <w:pStyle w:val="ListBullet"/>
      </w:pPr>
      <w:r>
        <w:t>Do not depend on planner_curated_api, planner_broker_access_token_hook, the abandoned broker identity/grants, or the disabled Custom Access Token Hook.</w:t>
      </w:r>
    </w:p>
    <w:p>
      <w:pPr>
        <w:pStyle w:val="ListBullet"/>
      </w:pPr>
      <w:r>
        <w:t>Do not wait for broker cleanup or Supabase Support resolution of RESIDUAL_MANAGED_DEFAULT_EXPOSURE. Explicitly secure and verify each Meals database object.</w:t>
      </w:r>
    </w:p>
    <w:p>
      <w:pPr>
        <w:pStyle w:val="ListBullet"/>
      </w:pPr>
      <w:r>
        <w:t>Create database objects through source-controlled migrations rather than manual production object creation.</w:t>
      </w:r>
    </w:p>
    <w:p>
      <w:pPr>
        <w:pStyle w:val="ListBullet"/>
      </w:pPr>
      <w:r>
        <w:t>Introduce database objects incrementally with the phase that needs them.</w:t>
      </w:r>
    </w:p>
    <w:p>
      <w:pPr>
        <w:pStyle w:val="ListBullet"/>
      </w:pPr>
      <w:r>
        <w:t>Keep meal-plan persistence separate from existing Planner task storage.</w:t>
      </w:r>
    </w:p>
    <w:p>
      <w:pPr>
        <w:pStyle w:val="ListBullet"/>
      </w:pPr>
      <w:r>
        <w:t>Follow Acceptance Workbook Update Protocol.md throughout every task.</w:t>
      </w:r>
    </w:p>
    <w:p>
      <w:pPr>
        <w:pStyle w:val="Heading1"/>
      </w:pPr>
      <w:r>
        <w:t>2. Phase lifecycle and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12"/>
            <w:shd w:fill="1F4E78"/>
            <w:tcMar>
              <w:top w:w="90" w:type="dxa"/>
              <w:start w:w="100" w:type="dxa"/>
              <w:bottom w:w="90" w:type="dxa"/>
              <w:end w:w="100" w:type="dxa"/>
            </w:tcMar>
            <w:vAlign w:val="center"/>
          </w:tcPr>
          <w:p>
            <w:r>
              <w:rPr>
                <w:b/>
                <w:color w:val="FFFFFF"/>
                <w:sz w:val="16"/>
              </w:rPr>
              <w:t>Step</w:t>
            </w:r>
          </w:p>
        </w:tc>
        <w:tc>
          <w:tcPr>
            <w:tcW w:type="dxa" w:w="5256"/>
            <w:shd w:fill="1F4E78"/>
            <w:tcMar>
              <w:top w:w="90" w:type="dxa"/>
              <w:start w:w="100" w:type="dxa"/>
              <w:bottom w:w="90" w:type="dxa"/>
              <w:end w:w="100" w:type="dxa"/>
            </w:tcMar>
            <w:vAlign w:val="center"/>
          </w:tcPr>
          <w:p>
            <w:r>
              <w:rPr>
                <w:b/>
                <w:color w:val="FFFFFF"/>
                <w:sz w:val="16"/>
              </w:rPr>
              <w:t>COPILOT</w:t>
            </w:r>
          </w:p>
        </w:tc>
        <w:tc>
          <w:tcPr>
            <w:tcW w:type="dxa" w:w="3096"/>
            <w:shd w:fill="1F4E78"/>
            <w:tcMar>
              <w:top w:w="90" w:type="dxa"/>
              <w:start w:w="100" w:type="dxa"/>
              <w:bottom w:w="90" w:type="dxa"/>
              <w:end w:w="100" w:type="dxa"/>
            </w:tcMar>
            <w:vAlign w:val="center"/>
          </w:tcPr>
          <w:p>
            <w:r>
              <w:rPr>
                <w:b/>
                <w:color w:val="FFFFFF"/>
                <w:sz w:val="16"/>
              </w:rPr>
              <w:t>Owner / Gate</w:t>
            </w:r>
          </w:p>
        </w:tc>
      </w:tr>
      <w:tr>
        <w:trPr>
          <w:cantSplit/>
        </w:trPr>
        <w:tc>
          <w:tcPr>
            <w:tcW w:type="dxa" w:w="1512"/>
            <w:tcMar>
              <w:top w:w="90" w:type="dxa"/>
              <w:start w:w="100" w:type="dxa"/>
              <w:bottom w:w="90" w:type="dxa"/>
              <w:end w:w="100" w:type="dxa"/>
            </w:tcMar>
            <w:vAlign w:val="center"/>
          </w:tcPr>
          <w:p>
            <w:r>
              <w:rPr>
                <w:sz w:val="16"/>
              </w:rPr>
              <w:t>A. Read-only preflight</w:t>
            </w:r>
          </w:p>
        </w:tc>
        <w:tc>
          <w:tcPr>
            <w:tcW w:type="dxa" w:w="5256"/>
            <w:tcMar>
              <w:top w:w="90" w:type="dxa"/>
              <w:start w:w="100" w:type="dxa"/>
              <w:bottom w:w="90" w:type="dxa"/>
              <w:end w:w="100" w:type="dxa"/>
            </w:tcMar>
            <w:vAlign w:val="center"/>
          </w:tcPr>
          <w:p>
            <w:r>
              <w:rPr>
                <w:sz w:val="16"/>
              </w:rPr>
              <w:t>Inspect branch/status, current code, test tooling, migration conventions, relevant live-state assumptions, and applicable requirement/test IDs. No code or production changes.</w:t>
            </w:r>
          </w:p>
        </w:tc>
        <w:tc>
          <w:tcPr>
            <w:tcW w:type="dxa" w:w="3096"/>
            <w:tcMar>
              <w:top w:w="90" w:type="dxa"/>
              <w:start w:w="100" w:type="dxa"/>
              <w:bottom w:w="90" w:type="dxa"/>
              <w:end w:w="100" w:type="dxa"/>
            </w:tcMar>
            <w:vAlign w:val="center"/>
          </w:tcPr>
          <w:p>
            <w:r>
              <w:rPr>
                <w:sz w:val="16"/>
              </w:rPr>
              <w:t>Review proposed scope and identified manual/authorization needs.</w:t>
            </w:r>
          </w:p>
        </w:tc>
      </w:tr>
      <w:tr>
        <w:trPr>
          <w:cantSplit/>
        </w:trPr>
        <w:tc>
          <w:tcPr>
            <w:tcW w:type="dxa" w:w="1512"/>
            <w:tcMar>
              <w:top w:w="90" w:type="dxa"/>
              <w:start w:w="100" w:type="dxa"/>
              <w:bottom w:w="90" w:type="dxa"/>
              <w:end w:w="100" w:type="dxa"/>
            </w:tcMar>
            <w:vAlign w:val="center"/>
          </w:tcPr>
          <w:p>
            <w:r>
              <w:rPr>
                <w:sz w:val="16"/>
              </w:rPr>
              <w:t>B. Technical design</w:t>
            </w:r>
          </w:p>
        </w:tc>
        <w:tc>
          <w:tcPr>
            <w:tcW w:type="dxa" w:w="5256"/>
            <w:tcMar>
              <w:top w:w="90" w:type="dxa"/>
              <w:start w:w="100" w:type="dxa"/>
              <w:bottom w:w="90" w:type="dxa"/>
              <w:end w:w="100" w:type="dxa"/>
            </w:tcMar>
            <w:vAlign w:val="center"/>
          </w:tcPr>
          <w:p>
            <w:r>
              <w:rPr>
                <w:sz w:val="16"/>
              </w:rPr>
              <w:t>Propose files, data objects, operation matrix, RLS/grants/policies, tests, verification, and rollback strategy.</w:t>
            </w:r>
          </w:p>
        </w:tc>
        <w:tc>
          <w:tcPr>
            <w:tcW w:type="dxa" w:w="3096"/>
            <w:tcMar>
              <w:top w:w="90" w:type="dxa"/>
              <w:start w:w="100" w:type="dxa"/>
              <w:bottom w:w="90" w:type="dxa"/>
              <w:end w:w="100" w:type="dxa"/>
            </w:tcMar>
            <w:vAlign w:val="center"/>
          </w:tcPr>
          <w:p>
            <w:r>
              <w:rPr>
                <w:sz w:val="16"/>
              </w:rPr>
              <w:t>Resolve only material design decisions not already fixed by requirements.</w:t>
            </w:r>
          </w:p>
        </w:tc>
      </w:tr>
      <w:tr>
        <w:trPr>
          <w:cantSplit/>
        </w:trPr>
        <w:tc>
          <w:tcPr>
            <w:tcW w:type="dxa" w:w="1512"/>
            <w:tcMar>
              <w:top w:w="90" w:type="dxa"/>
              <w:start w:w="100" w:type="dxa"/>
              <w:bottom w:w="90" w:type="dxa"/>
              <w:end w:w="100" w:type="dxa"/>
            </w:tcMar>
            <w:vAlign w:val="center"/>
          </w:tcPr>
          <w:p>
            <w:r>
              <w:rPr>
                <w:sz w:val="16"/>
              </w:rPr>
              <w:t>C. Implement locally</w:t>
            </w:r>
          </w:p>
        </w:tc>
        <w:tc>
          <w:tcPr>
            <w:tcW w:type="dxa" w:w="5256"/>
            <w:tcMar>
              <w:top w:w="90" w:type="dxa"/>
              <w:start w:w="100" w:type="dxa"/>
              <w:bottom w:w="90" w:type="dxa"/>
              <w:end w:w="100" w:type="dxa"/>
            </w:tcMar>
            <w:vAlign w:val="center"/>
          </w:tcPr>
          <w:p>
            <w:r>
              <w:rPr>
                <w:sz w:val="16"/>
              </w:rPr>
              <w:t>Change code/migrations/tests/docs; run automated tests, build and lint; update workbook technical fields.</w:t>
            </w:r>
          </w:p>
        </w:tc>
        <w:tc>
          <w:tcPr>
            <w:tcW w:type="dxa" w:w="3096"/>
            <w:tcMar>
              <w:top w:w="90" w:type="dxa"/>
              <w:start w:w="100" w:type="dxa"/>
              <w:bottom w:w="90" w:type="dxa"/>
              <w:end w:w="100" w:type="dxa"/>
            </w:tcMar>
            <w:vAlign w:val="center"/>
          </w:tcPr>
          <w:p>
            <w:r>
              <w:rPr>
                <w:sz w:val="16"/>
              </w:rPr>
              <w:t>No routine coding required.</w:t>
            </w:r>
          </w:p>
        </w:tc>
      </w:tr>
      <w:tr>
        <w:trPr>
          <w:cantSplit/>
        </w:trPr>
        <w:tc>
          <w:tcPr>
            <w:tcW w:type="dxa" w:w="1512"/>
            <w:tcMar>
              <w:top w:w="90" w:type="dxa"/>
              <w:start w:w="100" w:type="dxa"/>
              <w:bottom w:w="90" w:type="dxa"/>
              <w:end w:w="100" w:type="dxa"/>
            </w:tcMar>
            <w:vAlign w:val="center"/>
          </w:tcPr>
          <w:p>
            <w:r>
              <w:rPr>
                <w:sz w:val="16"/>
              </w:rPr>
              <w:t>D. Production preflight</w:t>
            </w:r>
          </w:p>
        </w:tc>
        <w:tc>
          <w:tcPr>
            <w:tcW w:type="dxa" w:w="5256"/>
            <w:tcMar>
              <w:top w:w="90" w:type="dxa"/>
              <w:start w:w="100" w:type="dxa"/>
              <w:bottom w:w="90" w:type="dxa"/>
              <w:end w:w="100" w:type="dxa"/>
            </w:tcMar>
            <w:vAlign w:val="center"/>
          </w:tcPr>
          <w:p>
            <w:r>
              <w:rPr>
                <w:sz w:val="16"/>
              </w:rPr>
              <w:t>Perform approved read-only production catalog/security inspection and compare with migration assumptions. Stop on drift.</w:t>
            </w:r>
          </w:p>
        </w:tc>
        <w:tc>
          <w:tcPr>
            <w:tcW w:type="dxa" w:w="3096"/>
            <w:tcMar>
              <w:top w:w="90" w:type="dxa"/>
              <w:start w:w="100" w:type="dxa"/>
              <w:bottom w:w="90" w:type="dxa"/>
              <w:end w:w="100" w:type="dxa"/>
            </w:tcMar>
            <w:vAlign w:val="center"/>
          </w:tcPr>
          <w:p>
            <w:r>
              <w:rPr>
                <w:sz w:val="16"/>
              </w:rPr>
              <w:t>Review blocker findings if any.</w:t>
            </w:r>
          </w:p>
        </w:tc>
      </w:tr>
      <w:tr>
        <w:trPr>
          <w:cantSplit/>
        </w:trPr>
        <w:tc>
          <w:tcPr>
            <w:tcW w:type="dxa" w:w="1512"/>
            <w:tcMar>
              <w:top w:w="90" w:type="dxa"/>
              <w:start w:w="100" w:type="dxa"/>
              <w:bottom w:w="90" w:type="dxa"/>
              <w:end w:w="100" w:type="dxa"/>
            </w:tcMar>
            <w:vAlign w:val="center"/>
          </w:tcPr>
          <w:p>
            <w:r>
              <w:rPr>
                <w:sz w:val="16"/>
              </w:rPr>
              <w:t>E. Production authorization</w:t>
            </w:r>
          </w:p>
        </w:tc>
        <w:tc>
          <w:tcPr>
            <w:tcW w:type="dxa" w:w="5256"/>
            <w:tcMar>
              <w:top w:w="90" w:type="dxa"/>
              <w:start w:w="100" w:type="dxa"/>
              <w:bottom w:w="90" w:type="dxa"/>
              <w:end w:w="100" w:type="dxa"/>
            </w:tcMar>
            <w:vAlign w:val="center"/>
          </w:tcPr>
          <w:p>
            <w:r>
              <w:rPr>
                <w:sz w:val="16"/>
              </w:rPr>
              <w:t>Present exact production-changing migration and expected effects.</w:t>
            </w:r>
          </w:p>
        </w:tc>
        <w:tc>
          <w:tcPr>
            <w:tcW w:type="dxa" w:w="3096"/>
            <w:tcMar>
              <w:top w:w="90" w:type="dxa"/>
              <w:start w:w="100" w:type="dxa"/>
              <w:bottom w:w="90" w:type="dxa"/>
              <w:end w:w="100" w:type="dxa"/>
            </w:tcMar>
            <w:vAlign w:val="center"/>
          </w:tcPr>
          <w:p>
            <w:r>
              <w:rPr>
                <w:sz w:val="16"/>
              </w:rPr>
              <w:t>Explicitly authorize or reject that exact change.</w:t>
            </w:r>
          </w:p>
        </w:tc>
      </w:tr>
      <w:tr>
        <w:trPr>
          <w:cantSplit/>
        </w:trPr>
        <w:tc>
          <w:tcPr>
            <w:tcW w:type="dxa" w:w="1512"/>
            <w:tcMar>
              <w:top w:w="90" w:type="dxa"/>
              <w:start w:w="100" w:type="dxa"/>
              <w:bottom w:w="90" w:type="dxa"/>
              <w:end w:w="100" w:type="dxa"/>
            </w:tcMar>
            <w:vAlign w:val="center"/>
          </w:tcPr>
          <w:p>
            <w:r>
              <w:rPr>
                <w:sz w:val="16"/>
              </w:rPr>
              <w:t>F. Execute once</w:t>
            </w:r>
          </w:p>
        </w:tc>
        <w:tc>
          <w:tcPr>
            <w:tcW w:type="dxa" w:w="5256"/>
            <w:tcMar>
              <w:top w:w="90" w:type="dxa"/>
              <w:start w:w="100" w:type="dxa"/>
              <w:bottom w:w="90" w:type="dxa"/>
              <w:end w:w="100" w:type="dxa"/>
            </w:tcMar>
            <w:vAlign w:val="center"/>
          </w:tcPr>
          <w:p>
            <w:r>
              <w:rPr>
                <w:sz w:val="16"/>
              </w:rPr>
              <w:t>Execute authorized migration once. Do not auto-retry or auto-rollback on failure.</w:t>
            </w:r>
          </w:p>
        </w:tc>
        <w:tc>
          <w:tcPr>
            <w:tcW w:type="dxa" w:w="3096"/>
            <w:tcMar>
              <w:top w:w="90" w:type="dxa"/>
              <w:start w:w="100" w:type="dxa"/>
              <w:bottom w:w="90" w:type="dxa"/>
              <w:end w:w="100" w:type="dxa"/>
            </w:tcMar>
            <w:vAlign w:val="center"/>
          </w:tcPr>
          <w:p>
            <w:r>
              <w:rPr>
                <w:sz w:val="16"/>
              </w:rPr>
              <w:t>Reauthorization required for any revised production change.</w:t>
            </w:r>
          </w:p>
        </w:tc>
      </w:tr>
      <w:tr>
        <w:trPr>
          <w:cantSplit/>
        </w:trPr>
        <w:tc>
          <w:tcPr>
            <w:tcW w:type="dxa" w:w="1512"/>
            <w:tcMar>
              <w:top w:w="90" w:type="dxa"/>
              <w:start w:w="100" w:type="dxa"/>
              <w:bottom w:w="90" w:type="dxa"/>
              <w:end w:w="100" w:type="dxa"/>
            </w:tcMar>
            <w:vAlign w:val="center"/>
          </w:tcPr>
          <w:p>
            <w:r>
              <w:rPr>
                <w:sz w:val="16"/>
              </w:rPr>
              <w:t>G. Verify</w:t>
            </w:r>
          </w:p>
        </w:tc>
        <w:tc>
          <w:tcPr>
            <w:tcW w:type="dxa" w:w="5256"/>
            <w:tcMar>
              <w:top w:w="90" w:type="dxa"/>
              <w:start w:w="100" w:type="dxa"/>
              <w:bottom w:w="90" w:type="dxa"/>
              <w:end w:w="100" w:type="dxa"/>
            </w:tcMar>
            <w:vAlign w:val="center"/>
          </w:tcPr>
          <w:p>
            <w:r>
              <w:rPr>
                <w:sz w:val="16"/>
              </w:rPr>
              <w:t>Run post-deployment read-only catalog verification, security tests, owner smoke preparation, Security Advisor review, build/app checks, and workbook updates.</w:t>
            </w:r>
          </w:p>
        </w:tc>
        <w:tc>
          <w:tcPr>
            <w:tcW w:type="dxa" w:w="3096"/>
            <w:tcMar>
              <w:top w:w="90" w:type="dxa"/>
              <w:start w:w="100" w:type="dxa"/>
              <w:bottom w:w="90" w:type="dxa"/>
              <w:end w:w="100" w:type="dxa"/>
            </w:tcMar>
            <w:vAlign w:val="center"/>
          </w:tcPr>
          <w:p>
            <w:r>
              <w:rPr>
                <w:sz w:val="16"/>
              </w:rPr>
              <w:t>Perform applicable Ready to Test UAT.</w:t>
            </w:r>
          </w:p>
        </w:tc>
      </w:tr>
      <w:tr>
        <w:trPr>
          <w:cantSplit/>
        </w:trPr>
        <w:tc>
          <w:tcPr>
            <w:tcW w:type="dxa" w:w="1512"/>
            <w:tcMar>
              <w:top w:w="90" w:type="dxa"/>
              <w:start w:w="100" w:type="dxa"/>
              <w:bottom w:w="90" w:type="dxa"/>
              <w:end w:w="100" w:type="dxa"/>
            </w:tcMar>
            <w:vAlign w:val="center"/>
          </w:tcPr>
          <w:p>
            <w:r>
              <w:rPr>
                <w:sz w:val="16"/>
              </w:rPr>
              <w:t>H. Sign-off</w:t>
            </w:r>
          </w:p>
        </w:tc>
        <w:tc>
          <w:tcPr>
            <w:tcW w:type="dxa" w:w="5256"/>
            <w:tcMar>
              <w:top w:w="90" w:type="dxa"/>
              <w:start w:w="100" w:type="dxa"/>
              <w:bottom w:w="90" w:type="dxa"/>
              <w:end w:w="100" w:type="dxa"/>
            </w:tcMar>
            <w:vAlign w:val="center"/>
          </w:tcPr>
          <w:p>
            <w:r>
              <w:rPr>
                <w:sz w:val="16"/>
              </w:rPr>
              <w:t>Present final technical report and unresolved defects.</w:t>
            </w:r>
          </w:p>
        </w:tc>
        <w:tc>
          <w:tcPr>
            <w:tcW w:type="dxa" w:w="3096"/>
            <w:tcMar>
              <w:top w:w="90" w:type="dxa"/>
              <w:start w:w="100" w:type="dxa"/>
              <w:bottom w:w="90" w:type="dxa"/>
              <w:end w:w="100" w:type="dxa"/>
            </w:tcMar>
            <w:vAlign w:val="center"/>
          </w:tcPr>
          <w:p>
            <w:r>
              <w:rPr>
                <w:sz w:val="16"/>
              </w:rPr>
              <w:t>Set phase Final Decision in workbook.</w:t>
            </w:r>
          </w:p>
        </w:tc>
      </w:tr>
    </w:tbl>
    <w:p/>
    <w:p>
      <w:pPr>
        <w:pStyle w:val="Heading1"/>
      </w:pPr>
      <w:r>
        <w:t>3. Phase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24"/>
            <w:shd w:fill="1F4E78"/>
            <w:tcMar>
              <w:top w:w="90" w:type="dxa"/>
              <w:start w:w="100" w:type="dxa"/>
              <w:bottom w:w="90" w:type="dxa"/>
              <w:end w:w="100" w:type="dxa"/>
            </w:tcMar>
            <w:vAlign w:val="center"/>
          </w:tcPr>
          <w:p>
            <w:r>
              <w:rPr>
                <w:b/>
                <w:color w:val="FFFFFF"/>
                <w:sz w:val="16"/>
              </w:rPr>
              <w:t>Phase</w:t>
            </w:r>
          </w:p>
        </w:tc>
        <w:tc>
          <w:tcPr>
            <w:tcW w:type="dxa" w:w="3672"/>
            <w:shd w:fill="1F4E78"/>
            <w:tcMar>
              <w:top w:w="90" w:type="dxa"/>
              <w:start w:w="100" w:type="dxa"/>
              <w:bottom w:w="90" w:type="dxa"/>
              <w:end w:w="100" w:type="dxa"/>
            </w:tcMar>
            <w:vAlign w:val="center"/>
          </w:tcPr>
          <w:p>
            <w:r>
              <w:rPr>
                <w:b/>
                <w:color w:val="FFFFFF"/>
                <w:sz w:val="16"/>
              </w:rPr>
              <w:t>Outcome</w:t>
            </w:r>
          </w:p>
        </w:tc>
        <w:tc>
          <w:tcPr>
            <w:tcW w:type="dxa" w:w="3240"/>
            <w:shd w:fill="1F4E78"/>
            <w:tcMar>
              <w:top w:w="90" w:type="dxa"/>
              <w:start w:w="100" w:type="dxa"/>
              <w:bottom w:w="90" w:type="dxa"/>
              <w:end w:w="100" w:type="dxa"/>
            </w:tcMar>
            <w:vAlign w:val="center"/>
          </w:tcPr>
          <w:p>
            <w:r>
              <w:rPr>
                <w:b/>
                <w:color w:val="FFFFFF"/>
                <w:sz w:val="16"/>
              </w:rPr>
              <w:t>Database scope</w:t>
            </w:r>
          </w:p>
        </w:tc>
        <w:tc>
          <w:tcPr>
            <w:tcW w:type="dxa" w:w="1800"/>
            <w:shd w:fill="1F4E78"/>
            <w:tcMar>
              <w:top w:w="90" w:type="dxa"/>
              <w:start w:w="100" w:type="dxa"/>
              <w:bottom w:w="90" w:type="dxa"/>
              <w:end w:w="100" w:type="dxa"/>
            </w:tcMar>
            <w:vAlign w:val="center"/>
          </w:tcPr>
          <w:p>
            <w:r>
              <w:rPr>
                <w:b/>
                <w:color w:val="FFFFFF"/>
                <w:sz w:val="16"/>
              </w:rPr>
              <w:t>Primary requirement families</w:t>
            </w:r>
          </w:p>
        </w:tc>
      </w:tr>
      <w:tr>
        <w:trPr>
          <w:cantSplit/>
        </w:trPr>
        <w:tc>
          <w:tcPr>
            <w:tcW w:type="dxa" w:w="1224"/>
            <w:tcMar>
              <w:top w:w="90" w:type="dxa"/>
              <w:start w:w="100" w:type="dxa"/>
              <w:bottom w:w="90" w:type="dxa"/>
              <w:end w:w="100" w:type="dxa"/>
            </w:tcMar>
            <w:vAlign w:val="center"/>
          </w:tcPr>
          <w:p>
            <w:r>
              <w:rPr>
                <w:sz w:val="16"/>
              </w:rPr>
              <w:t>0A</w:t>
            </w:r>
          </w:p>
        </w:tc>
        <w:tc>
          <w:tcPr>
            <w:tcW w:type="dxa" w:w="3672"/>
            <w:tcMar>
              <w:top w:w="90" w:type="dxa"/>
              <w:start w:w="100" w:type="dxa"/>
              <w:bottom w:w="90" w:type="dxa"/>
              <w:end w:w="100" w:type="dxa"/>
            </w:tcMar>
            <w:vAlign w:val="center"/>
          </w:tcPr>
          <w:p>
            <w:r>
              <w:rPr>
                <w:sz w:val="16"/>
              </w:rPr>
              <w:t>Shared Meals shell, routing, auth/security/deployment foundation, documentation control.</w:t>
            </w:r>
          </w:p>
        </w:tc>
        <w:tc>
          <w:tcPr>
            <w:tcW w:type="dxa" w:w="3240"/>
            <w:tcMar>
              <w:top w:w="90" w:type="dxa"/>
              <w:start w:w="100" w:type="dxa"/>
              <w:bottom w:w="90" w:type="dxa"/>
              <w:end w:w="100" w:type="dxa"/>
            </w:tcMar>
            <w:vAlign w:val="center"/>
          </w:tcPr>
          <w:p>
            <w:r>
              <w:rPr>
                <w:sz w:val="16"/>
              </w:rPr>
              <w:t>No speculative Shopping or meal-plan tables. Only shared objects absolutely required by the approved technical design.</w:t>
            </w:r>
          </w:p>
        </w:tc>
        <w:tc>
          <w:tcPr>
            <w:tcW w:type="dxa" w:w="1800"/>
            <w:tcMar>
              <w:top w:w="90" w:type="dxa"/>
              <w:start w:w="100" w:type="dxa"/>
              <w:bottom w:w="90" w:type="dxa"/>
              <w:end w:w="100" w:type="dxa"/>
            </w:tcMar>
            <w:vAlign w:val="center"/>
          </w:tcPr>
          <w:p>
            <w:r>
              <w:rPr>
                <w:sz w:val="16"/>
              </w:rPr>
              <w:t>ARCH, NAV, DB-SEC, SEC-TST, RESP foundation</w:t>
            </w:r>
          </w:p>
        </w:tc>
      </w:tr>
      <w:tr>
        <w:trPr>
          <w:cantSplit/>
        </w:trPr>
        <w:tc>
          <w:tcPr>
            <w:tcW w:type="dxa" w:w="1224"/>
            <w:tcMar>
              <w:top w:w="90" w:type="dxa"/>
              <w:start w:w="100" w:type="dxa"/>
              <w:bottom w:w="90" w:type="dxa"/>
              <w:end w:w="100" w:type="dxa"/>
            </w:tcMar>
            <w:vAlign w:val="center"/>
          </w:tcPr>
          <w:p>
            <w:r>
              <w:rPr>
                <w:sz w:val="16"/>
              </w:rPr>
              <w:t>0B / 1 Foundation</w:t>
            </w:r>
          </w:p>
        </w:tc>
        <w:tc>
          <w:tcPr>
            <w:tcW w:type="dxa" w:w="3672"/>
            <w:tcMar>
              <w:top w:w="90" w:type="dxa"/>
              <w:start w:w="100" w:type="dxa"/>
              <w:bottom w:w="90" w:type="dxa"/>
              <w:end w:w="100" w:type="dxa"/>
            </w:tcMar>
            <w:vAlign w:val="center"/>
          </w:tcPr>
          <w:p>
            <w:r>
              <w:rPr>
                <w:sz w:val="16"/>
              </w:rPr>
              <w:t>Recipe persistence and services needed for Recipe Core.</w:t>
            </w:r>
          </w:p>
        </w:tc>
        <w:tc>
          <w:tcPr>
            <w:tcW w:type="dxa" w:w="3240"/>
            <w:tcMar>
              <w:top w:w="90" w:type="dxa"/>
              <w:start w:w="100" w:type="dxa"/>
              <w:bottom w:w="90" w:type="dxa"/>
              <w:end w:w="100" w:type="dxa"/>
            </w:tcMar>
            <w:vAlign w:val="center"/>
          </w:tcPr>
          <w:p>
            <w:r>
              <w:rPr>
                <w:sz w:val="16"/>
              </w:rPr>
              <w:t>Recipe, Category/Cuisine storage and supporting constraints/indexes only.</w:t>
            </w:r>
          </w:p>
        </w:tc>
        <w:tc>
          <w:tcPr>
            <w:tcW w:type="dxa" w:w="1800"/>
            <w:tcMar>
              <w:top w:w="90" w:type="dxa"/>
              <w:start w:w="100" w:type="dxa"/>
              <w:bottom w:w="90" w:type="dxa"/>
              <w:end w:w="100" w:type="dxa"/>
            </w:tcMar>
            <w:vAlign w:val="center"/>
          </w:tcPr>
          <w:p>
            <w:r>
              <w:rPr>
                <w:sz w:val="16"/>
              </w:rPr>
              <w:t>RE-DATA, relevant DB/ARCH security requirements</w:t>
            </w:r>
          </w:p>
        </w:tc>
      </w:tr>
      <w:tr>
        <w:trPr>
          <w:cantSplit/>
        </w:trPr>
        <w:tc>
          <w:tcPr>
            <w:tcW w:type="dxa" w:w="1224"/>
            <w:tcMar>
              <w:top w:w="90" w:type="dxa"/>
              <w:start w:w="100" w:type="dxa"/>
              <w:bottom w:w="90" w:type="dxa"/>
              <w:end w:w="100" w:type="dxa"/>
            </w:tcMar>
            <w:vAlign w:val="center"/>
          </w:tcPr>
          <w:p>
            <w:r>
              <w:rPr>
                <w:sz w:val="16"/>
              </w:rPr>
              <w:t>1</w:t>
            </w:r>
          </w:p>
        </w:tc>
        <w:tc>
          <w:tcPr>
            <w:tcW w:type="dxa" w:w="3672"/>
            <w:tcMar>
              <w:top w:w="90" w:type="dxa"/>
              <w:start w:w="100" w:type="dxa"/>
              <w:bottom w:w="90" w:type="dxa"/>
              <w:end w:w="100" w:type="dxa"/>
            </w:tcMar>
            <w:vAlign w:val="center"/>
          </w:tcPr>
          <w:p>
            <w:r>
              <w:rPr>
                <w:sz w:val="16"/>
              </w:rPr>
              <w:t>Usable manual Recipe Core.</w:t>
            </w:r>
          </w:p>
        </w:tc>
        <w:tc>
          <w:tcPr>
            <w:tcW w:type="dxa" w:w="3240"/>
            <w:tcMar>
              <w:top w:w="90" w:type="dxa"/>
              <w:start w:w="100" w:type="dxa"/>
              <w:bottom w:w="90" w:type="dxa"/>
              <w:end w:w="100" w:type="dxa"/>
            </w:tcMar>
            <w:vAlign w:val="center"/>
          </w:tcPr>
          <w:p>
            <w:r>
              <w:rPr>
                <w:sz w:val="16"/>
              </w:rPr>
              <w:t>No Shopping or meal-plan persistence required.</w:t>
            </w:r>
          </w:p>
        </w:tc>
        <w:tc>
          <w:tcPr>
            <w:tcW w:type="dxa" w:w="1800"/>
            <w:tcMar>
              <w:top w:w="90" w:type="dxa"/>
              <w:start w:w="100" w:type="dxa"/>
              <w:bottom w:w="90" w:type="dxa"/>
              <w:end w:w="100" w:type="dxa"/>
            </w:tcMar>
            <w:vAlign w:val="center"/>
          </w:tcPr>
          <w:p>
            <w:r>
              <w:rPr>
                <w:sz w:val="16"/>
              </w:rPr>
              <w:t>RL, RD, RE; Phase 0 regressions</w:t>
            </w:r>
          </w:p>
        </w:tc>
      </w:tr>
      <w:tr>
        <w:trPr>
          <w:cantSplit/>
        </w:trPr>
        <w:tc>
          <w:tcPr>
            <w:tcW w:type="dxa" w:w="1224"/>
            <w:tcMar>
              <w:top w:w="90" w:type="dxa"/>
              <w:start w:w="100" w:type="dxa"/>
              <w:bottom w:w="90" w:type="dxa"/>
              <w:end w:w="100" w:type="dxa"/>
            </w:tcMar>
            <w:vAlign w:val="center"/>
          </w:tcPr>
          <w:p>
            <w:r>
              <w:rPr>
                <w:sz w:val="16"/>
              </w:rPr>
              <w:t>2 Foundation</w:t>
            </w:r>
          </w:p>
        </w:tc>
        <w:tc>
          <w:tcPr>
            <w:tcW w:type="dxa" w:w="3672"/>
            <w:tcMar>
              <w:top w:w="90" w:type="dxa"/>
              <w:start w:w="100" w:type="dxa"/>
              <w:bottom w:w="90" w:type="dxa"/>
              <w:end w:w="100" w:type="dxa"/>
            </w:tcMar>
            <w:vAlign w:val="center"/>
          </w:tcPr>
          <w:p>
            <w:r>
              <w:rPr>
                <w:sz w:val="16"/>
              </w:rPr>
              <w:t>Shopping persistence/security.</w:t>
            </w:r>
          </w:p>
        </w:tc>
        <w:tc>
          <w:tcPr>
            <w:tcW w:type="dxa" w:w="3240"/>
            <w:tcMar>
              <w:top w:w="90" w:type="dxa"/>
              <w:start w:w="100" w:type="dxa"/>
              <w:bottom w:w="90" w:type="dxa"/>
              <w:end w:w="100" w:type="dxa"/>
            </w:tcMar>
            <w:vAlign w:val="center"/>
          </w:tcPr>
          <w:p>
            <w:r>
              <w:rPr>
                <w:sz w:val="16"/>
              </w:rPr>
              <w:t>Shopping categories/items and only Phase 2 supporting objects.</w:t>
            </w:r>
          </w:p>
        </w:tc>
        <w:tc>
          <w:tcPr>
            <w:tcW w:type="dxa" w:w="1800"/>
            <w:tcMar>
              <w:top w:w="90" w:type="dxa"/>
              <w:start w:w="100" w:type="dxa"/>
              <w:bottom w:w="90" w:type="dxa"/>
              <w:end w:w="100" w:type="dxa"/>
            </w:tcMar>
            <w:vAlign w:val="center"/>
          </w:tcPr>
          <w:p>
            <w:r>
              <w:rPr>
                <w:sz w:val="16"/>
              </w:rPr>
              <w:t>ASL, SHOP plus DB/security</w:t>
            </w:r>
          </w:p>
        </w:tc>
      </w:tr>
      <w:tr>
        <w:trPr>
          <w:cantSplit/>
        </w:trPr>
        <w:tc>
          <w:tcPr>
            <w:tcW w:type="dxa" w:w="1224"/>
            <w:tcMar>
              <w:top w:w="90" w:type="dxa"/>
              <w:start w:w="100" w:type="dxa"/>
              <w:bottom w:w="90" w:type="dxa"/>
              <w:end w:w="100" w:type="dxa"/>
            </w:tcMar>
            <w:vAlign w:val="center"/>
          </w:tcPr>
          <w:p>
            <w:r>
              <w:rPr>
                <w:sz w:val="16"/>
              </w:rPr>
              <w:t>2</w:t>
            </w:r>
          </w:p>
        </w:tc>
        <w:tc>
          <w:tcPr>
            <w:tcW w:type="dxa" w:w="3672"/>
            <w:tcMar>
              <w:top w:w="90" w:type="dxa"/>
              <w:start w:w="100" w:type="dxa"/>
              <w:bottom w:w="90" w:type="dxa"/>
              <w:end w:w="100" w:type="dxa"/>
            </w:tcMar>
            <w:vAlign w:val="center"/>
          </w:tcPr>
          <w:p>
            <w:r>
              <w:rPr>
                <w:sz w:val="16"/>
              </w:rPr>
              <w:t>Usable Recipe-to-Shopping and in-store list workflow.</w:t>
            </w:r>
          </w:p>
        </w:tc>
        <w:tc>
          <w:tcPr>
            <w:tcW w:type="dxa" w:w="3240"/>
            <w:tcMar>
              <w:top w:w="90" w:type="dxa"/>
              <w:start w:w="100" w:type="dxa"/>
              <w:bottom w:w="90" w:type="dxa"/>
              <w:end w:w="100" w:type="dxa"/>
            </w:tcMar>
            <w:vAlign w:val="center"/>
          </w:tcPr>
          <w:p>
            <w:r>
              <w:rPr>
                <w:sz w:val="16"/>
              </w:rPr>
              <w:t>Use Phase 2 persistence.</w:t>
            </w:r>
          </w:p>
        </w:tc>
        <w:tc>
          <w:tcPr>
            <w:tcW w:type="dxa" w:w="1800"/>
            <w:tcMar>
              <w:top w:w="90" w:type="dxa"/>
              <w:start w:w="100" w:type="dxa"/>
              <w:bottom w:w="90" w:type="dxa"/>
              <w:end w:w="100" w:type="dxa"/>
            </w:tcMar>
            <w:vAlign w:val="center"/>
          </w:tcPr>
          <w:p>
            <w:r>
              <w:rPr>
                <w:sz w:val="16"/>
              </w:rPr>
              <w:t>ASL, SHOP; Recipe regression</w:t>
            </w:r>
          </w:p>
        </w:tc>
      </w:tr>
      <w:tr>
        <w:trPr>
          <w:cantSplit/>
        </w:trPr>
        <w:tc>
          <w:tcPr>
            <w:tcW w:type="dxa" w:w="1224"/>
            <w:tcMar>
              <w:top w:w="90" w:type="dxa"/>
              <w:start w:w="100" w:type="dxa"/>
              <w:bottom w:w="90" w:type="dxa"/>
              <w:end w:w="100" w:type="dxa"/>
            </w:tcMar>
            <w:vAlign w:val="center"/>
          </w:tcPr>
          <w:p>
            <w:r>
              <w:rPr>
                <w:sz w:val="16"/>
              </w:rPr>
              <w:t>3 Foundation</w:t>
            </w:r>
          </w:p>
        </w:tc>
        <w:tc>
          <w:tcPr>
            <w:tcW w:type="dxa" w:w="3672"/>
            <w:tcMar>
              <w:top w:w="90" w:type="dxa"/>
              <w:start w:w="100" w:type="dxa"/>
              <w:bottom w:w="90" w:type="dxa"/>
              <w:end w:w="100" w:type="dxa"/>
            </w:tcMar>
            <w:vAlign w:val="center"/>
          </w:tcPr>
          <w:p>
            <w:r>
              <w:rPr>
                <w:sz w:val="16"/>
              </w:rPr>
              <w:t>Meal-plan persistence/security separate from Planner tasks.</w:t>
            </w:r>
          </w:p>
        </w:tc>
        <w:tc>
          <w:tcPr>
            <w:tcW w:type="dxa" w:w="3240"/>
            <w:tcMar>
              <w:top w:w="90" w:type="dxa"/>
              <w:start w:w="100" w:type="dxa"/>
              <w:bottom w:w="90" w:type="dxa"/>
              <w:end w:w="100" w:type="dxa"/>
            </w:tcMar>
            <w:vAlign w:val="center"/>
          </w:tcPr>
          <w:p>
            <w:r>
              <w:rPr>
                <w:sz w:val="16"/>
              </w:rPr>
              <w:t>Meal-plan entries and only Phase 3 supporting objects.</w:t>
            </w:r>
          </w:p>
        </w:tc>
        <w:tc>
          <w:tcPr>
            <w:tcW w:type="dxa" w:w="1800"/>
            <w:tcMar>
              <w:top w:w="90" w:type="dxa"/>
              <w:start w:w="100" w:type="dxa"/>
              <w:bottom w:w="90" w:type="dxa"/>
              <w:end w:w="100" w:type="dxa"/>
            </w:tcMar>
            <w:vAlign w:val="center"/>
          </w:tcPr>
          <w:p>
            <w:r>
              <w:rPr>
                <w:sz w:val="16"/>
              </w:rPr>
              <w:t>PLAN, WP, PM plus DB/security</w:t>
            </w:r>
          </w:p>
        </w:tc>
      </w:tr>
      <w:tr>
        <w:trPr>
          <w:cantSplit/>
        </w:trPr>
        <w:tc>
          <w:tcPr>
            <w:tcW w:type="dxa" w:w="1224"/>
            <w:tcMar>
              <w:top w:w="90" w:type="dxa"/>
              <w:start w:w="100" w:type="dxa"/>
              <w:bottom w:w="90" w:type="dxa"/>
              <w:end w:w="100" w:type="dxa"/>
            </w:tcMar>
            <w:vAlign w:val="center"/>
          </w:tcPr>
          <w:p>
            <w:r>
              <w:rPr>
                <w:sz w:val="16"/>
              </w:rPr>
              <w:t>3</w:t>
            </w:r>
          </w:p>
        </w:tc>
        <w:tc>
          <w:tcPr>
            <w:tcW w:type="dxa" w:w="3672"/>
            <w:tcMar>
              <w:top w:w="90" w:type="dxa"/>
              <w:start w:w="100" w:type="dxa"/>
              <w:bottom w:w="90" w:type="dxa"/>
              <w:end w:w="100" w:type="dxa"/>
            </w:tcMar>
            <w:vAlign w:val="center"/>
          </w:tcPr>
          <w:p>
            <w:r>
              <w:rPr>
                <w:sz w:val="16"/>
              </w:rPr>
              <w:t>Bidirectional Recipe/Planner meal planning.</w:t>
            </w:r>
          </w:p>
        </w:tc>
        <w:tc>
          <w:tcPr>
            <w:tcW w:type="dxa" w:w="3240"/>
            <w:tcMar>
              <w:top w:w="90" w:type="dxa"/>
              <w:start w:w="100" w:type="dxa"/>
              <w:bottom w:w="90" w:type="dxa"/>
              <w:end w:w="100" w:type="dxa"/>
            </w:tcMar>
            <w:vAlign w:val="center"/>
          </w:tcPr>
          <w:p>
            <w:r>
              <w:rPr>
                <w:sz w:val="16"/>
              </w:rPr>
              <w:t>Compose meal-plan data into existing Planner UI.</w:t>
            </w:r>
          </w:p>
        </w:tc>
        <w:tc>
          <w:tcPr>
            <w:tcW w:type="dxa" w:w="1800"/>
            <w:tcMar>
              <w:top w:w="90" w:type="dxa"/>
              <w:start w:w="100" w:type="dxa"/>
              <w:bottom w:w="90" w:type="dxa"/>
              <w:end w:w="100" w:type="dxa"/>
            </w:tcMar>
            <w:vAlign w:val="center"/>
          </w:tcPr>
          <w:p>
            <w:r>
              <w:rPr>
                <w:sz w:val="16"/>
              </w:rPr>
              <w:t>PLAN, WP, PM; Recipe + Shopping regression</w:t>
            </w:r>
          </w:p>
        </w:tc>
      </w:tr>
      <w:tr>
        <w:trPr>
          <w:cantSplit/>
        </w:trPr>
        <w:tc>
          <w:tcPr>
            <w:tcW w:type="dxa" w:w="1224"/>
            <w:tcMar>
              <w:top w:w="90" w:type="dxa"/>
              <w:start w:w="100" w:type="dxa"/>
              <w:bottom w:w="90" w:type="dxa"/>
              <w:end w:w="100" w:type="dxa"/>
            </w:tcMar>
            <w:vAlign w:val="center"/>
          </w:tcPr>
          <w:p>
            <w:r>
              <w:rPr>
                <w:sz w:val="16"/>
              </w:rPr>
              <w:t>TBD</w:t>
            </w:r>
          </w:p>
        </w:tc>
        <w:tc>
          <w:tcPr>
            <w:tcW w:type="dxa" w:w="3672"/>
            <w:tcMar>
              <w:top w:w="90" w:type="dxa"/>
              <w:start w:w="100" w:type="dxa"/>
              <w:bottom w:w="90" w:type="dxa"/>
              <w:end w:w="100" w:type="dxa"/>
            </w:tcMar>
            <w:vAlign w:val="center"/>
          </w:tcPr>
          <w:p>
            <w:r>
              <w:rPr>
                <w:sz w:val="16"/>
              </w:rPr>
              <w:t>Recipe Import technical investigation and optional later implementation.</w:t>
            </w:r>
          </w:p>
        </w:tc>
        <w:tc>
          <w:tcPr>
            <w:tcW w:type="dxa" w:w="3240"/>
            <w:tcMar>
              <w:top w:w="90" w:type="dxa"/>
              <w:start w:w="100" w:type="dxa"/>
              <w:bottom w:w="90" w:type="dxa"/>
              <w:end w:w="100" w:type="dxa"/>
            </w:tcMar>
            <w:vAlign w:val="center"/>
          </w:tcPr>
          <w:p>
            <w:r>
              <w:rPr>
                <w:sz w:val="16"/>
              </w:rPr>
              <w:t>No schema dependency until approved.</w:t>
            </w:r>
          </w:p>
        </w:tc>
        <w:tc>
          <w:tcPr>
            <w:tcW w:type="dxa" w:w="1800"/>
            <w:tcMar>
              <w:top w:w="90" w:type="dxa"/>
              <w:start w:w="100" w:type="dxa"/>
              <w:bottom w:w="90" w:type="dxa"/>
              <w:end w:w="100" w:type="dxa"/>
            </w:tcMar>
            <w:vAlign w:val="center"/>
          </w:tcPr>
          <w:p>
            <w:r>
              <w:rPr>
                <w:sz w:val="16"/>
              </w:rPr>
              <w:t>IMP only</w:t>
            </w:r>
          </w:p>
        </w:tc>
      </w:tr>
    </w:tbl>
    <w:p/>
    <w:p>
      <w:pPr>
        <w:pStyle w:val="Heading1"/>
      </w:pPr>
      <w:r>
        <w:t>4. Initial repository preflight: first VS Code Copilot task</w:t>
      </w:r>
    </w:p>
    <w:p>
      <w:r>
        <w:t>Do not begin Meals feature coding before completing this read-only preflight. The purpose is to adapt the plan to the current repository without reopening approved product requirements.</w:t>
      </w:r>
    </w:p>
    <w:p>
      <w:pPr>
        <w:pStyle w:val="Heading2"/>
      </w:pPr>
      <w:r>
        <w:t>4.1 COPILOT</w:t>
      </w:r>
    </w:p>
    <w:p>
      <w:pPr>
        <w:pStyle w:val="ListNumber"/>
      </w:pPr>
      <w:r>
        <w:t>Confirm current branch, git status, repository root, package/build/test commands, and relevant documentation conventions.</w:t>
      </w:r>
    </w:p>
    <w:p>
      <w:pPr>
        <w:pStyle w:val="ListNumber"/>
      </w:pPr>
      <w:r>
        <w:t>Inspect the current authentication/session guard and confirm how private routes/data are blocked when logged out.</w:t>
      </w:r>
    </w:p>
    <w:p>
      <w:pPr>
        <w:pStyle w:val="ListNumber"/>
      </w:pPr>
      <w:r>
        <w:t>Inspect current route resolution, Main navigation, lazy-loading/module registration, and deep-link behavior relevant to /meals/*.</w:t>
      </w:r>
    </w:p>
    <w:p>
      <w:pPr>
        <w:pStyle w:val="ListNumber"/>
      </w:pPr>
      <w:r>
        <w:t>Inspect current Supabase client/configuration and current owner-RLS patterns from the recent security cutover.</w:t>
      </w:r>
    </w:p>
    <w:p>
      <w:pPr>
        <w:pStyle w:val="ListNumber"/>
      </w:pPr>
      <w:r>
        <w:t>Inspect current migration naming, source-control, rollback, catalog verification, and production deployment conventions.</w:t>
      </w:r>
    </w:p>
    <w:p>
      <w:pPr>
        <w:pStyle w:val="ListNumber"/>
      </w:pPr>
      <w:r>
        <w:t>Inspect existing automated test structure and identify the appropriate strategy for unit/service/component/route/security tests for Meals.</w:t>
      </w:r>
    </w:p>
    <w:p>
      <w:pPr>
        <w:pStyle w:val="ListNumber"/>
      </w:pPr>
      <w:r>
        <w:t>Inspect the current Weekly Planner files only to document future Phase 3 UI integration points; do not modify Planner in this preflight.</w:t>
      </w:r>
    </w:p>
    <w:p>
      <w:pPr>
        <w:pStyle w:val="ListNumber"/>
      </w:pPr>
      <w:r>
        <w:t>Confirm no Meals implementation currently exists and identify any naming/path conflicts.</w:t>
      </w:r>
    </w:p>
    <w:p>
      <w:pPr>
        <w:pStyle w:val="ListNumber"/>
      </w:pPr>
      <w:r>
        <w:t>Propose the repository path for the controlled Meals documents, preferring the existing documentation convention; if none exists, propose docs/meals/.</w:t>
      </w:r>
    </w:p>
    <w:p>
      <w:pPr>
        <w:pStyle w:val="ListNumber"/>
      </w:pPr>
      <w:r>
        <w:t>Review Requirements v0.3, Acceptance Checklist v1.0, and Acceptance Workbook Update Protocol and list the Phase 0A requirement/test IDs that apply.</w:t>
      </w:r>
    </w:p>
    <w:p>
      <w:pPr>
        <w:pStyle w:val="ListNumber"/>
      </w:pPr>
      <w:r>
        <w:t>Produce a precise Phase 0A proposed file-change list, technical risks, expected manual actions, expected production authorization point, and stop conditions.</w:t>
      </w:r>
    </w:p>
    <w:p>
      <w:pPr>
        <w:pStyle w:val="ListNumber"/>
      </w:pPr>
      <w:r>
        <w:t>Do not change source files, migrations, production database objects, or workbook acceptance statuses during this read-only preflight.</w:t>
      </w:r>
    </w:p>
    <w:p>
      <w:pPr>
        <w:pStyle w:val="Heading2"/>
      </w:pPr>
      <w:r>
        <w:t>4.2 VERIFY</w:t>
      </w:r>
    </w:p>
    <w:p>
      <w:pPr>
        <w:pStyle w:val="ListBullet"/>
      </w:pPr>
      <w:r>
        <w:t>Review the preflight output for unexpected architecture drift, new security constraints, or a genuinely missing product decision.</w:t>
      </w:r>
    </w:p>
    <w:p>
      <w:pPr>
        <w:pStyle w:val="ListBullet"/>
      </w:pPr>
      <w:r>
        <w:t>Approve moving from preflight to Phase 0A implementation; product requirements are not reopened merely because Copilot prefers a different design.</w:t>
      </w:r>
    </w:p>
    <w:p>
      <w:pPr>
        <w:pStyle w:val="Heading1"/>
      </w:pPr>
      <w:r>
        <w:t>5. Phase 0A - Shared Meals foundation and security</w:t>
      </w:r>
    </w:p>
    <w:p>
      <w:r>
        <w:t>Objective: establish the module shell and reusable security/deployment/test foundation without creating unused future-phase data structures.</w:t>
      </w:r>
    </w:p>
    <w:p>
      <w:pPr>
        <w:pStyle w:val="Heading2"/>
      </w:pPr>
      <w:r>
        <w:t>5.1 COPILOT implementation</w:t>
      </w:r>
    </w:p>
    <w:p>
      <w:pPr>
        <w:pStyle w:val="ListBullet"/>
      </w:pPr>
      <w:r>
        <w:t>Add Meals to the main application navigation using current conventions.</w:t>
      </w:r>
    </w:p>
    <w:p>
      <w:pPr>
        <w:pStyle w:val="ListBullet"/>
      </w:pPr>
      <w:r>
        <w:t>Add /meals and nested route recognition; /meals must resolve/redirect to /meals/recipes.</w:t>
      </w:r>
    </w:p>
    <w:p>
      <w:pPr>
        <w:pStyle w:val="ListBullet"/>
      </w:pPr>
      <w:r>
        <w:t>Create the Meals application/page shell and Recipes/Shopping internal navigation according to current routing conventions. Placeholder Shopping is acceptable until Phase 2, but do not invent functionality.</w:t>
      </w:r>
    </w:p>
    <w:p>
      <w:pPr>
        <w:pStyle w:val="ListBullet"/>
      </w:pPr>
      <w:r>
        <w:t>Ensure logged-out behavior follows the existing private application/session guard. Do not create a Meals-specific authentication system.</w:t>
      </w:r>
    </w:p>
    <w:p>
      <w:pPr>
        <w:pStyle w:val="ListBullet"/>
      </w:pPr>
      <w:r>
        <w:t>Add/adjust route tests and authentication/navigation smoke tests, including E2E-00 preparation.</w:t>
      </w:r>
    </w:p>
    <w:p>
      <w:pPr>
        <w:pStyle w:val="ListBullet"/>
      </w:pPr>
      <w:r>
        <w:t>Put the controlled documents in the agreed repository documentation path and follow/version them with code changes.</w:t>
      </w:r>
    </w:p>
    <w:p>
      <w:pPr>
        <w:pStyle w:val="ListBullet"/>
      </w:pPr>
      <w:r>
        <w:t>Establish a safe workbook-edit workflow so future Copilot tasks can modify the existing XLSX in place without breaking formulas/validation/owner results.</w:t>
      </w:r>
    </w:p>
    <w:p>
      <w:pPr>
        <w:pStyle w:val="ListBullet"/>
      </w:pPr>
      <w:r>
        <w:t>Prepare the shared database security templates/verification approach needed by later phase migrations, but do not create Shopping or meal-plan application tables.</w:t>
      </w:r>
    </w:p>
    <w:p>
      <w:pPr>
        <w:pStyle w:val="ListBullet"/>
      </w:pPr>
      <w:r>
        <w:t>Run source/build inspection confirming no service_role credential exposure and no abandoned broker dependency introduced by Meals.</w:t>
      </w:r>
    </w:p>
    <w:p>
      <w:pPr>
        <w:pStyle w:val="ListBullet"/>
      </w:pPr>
      <w:r>
        <w:t>Update applicable technical rows in the Acceptance Workbook according to the protocol.</w:t>
      </w:r>
    </w:p>
    <w:p>
      <w:pPr>
        <w:pStyle w:val="Heading2"/>
      </w:pPr>
      <w:r>
        <w:t>5.2 Exit gate</w:t>
      </w:r>
    </w:p>
    <w:p>
      <w:pPr>
        <w:pStyle w:val="ListBullet"/>
      </w:pPr>
      <w:r>
        <w:t>Build/lint and applicable automated tests pass.</w:t>
      </w:r>
    </w:p>
    <w:p>
      <w:pPr>
        <w:pStyle w:val="ListBullet"/>
      </w:pPr>
      <w:r>
        <w:t>/meals routing/navigation behavior is implemented and owner-UAT rows are Ready to Test.</w:t>
      </w:r>
    </w:p>
    <w:p>
      <w:pPr>
        <w:pStyle w:val="ListBullet"/>
      </w:pPr>
      <w:r>
        <w:t>Logged-out/private-route behavior and security source inspections pass.</w:t>
      </w:r>
    </w:p>
    <w:p>
      <w:pPr>
        <w:pStyle w:val="ListBullet"/>
      </w:pPr>
      <w:r>
        <w:t>No unapproved production-changing migration has been executed.</w:t>
      </w:r>
    </w:p>
    <w:p>
      <w:pPr>
        <w:pStyle w:val="ListBullet"/>
      </w:pPr>
      <w:r>
        <w:t>Owner completes Phase 0A UAT entries before Recipe persistence deployment proceeds where applicable.</w:t>
      </w:r>
    </w:p>
    <w:p>
      <w:pPr>
        <w:pStyle w:val="Heading1"/>
      </w:pPr>
      <w:r>
        <w:t>6. Phase 0B - Recipe persistence technical design and migration</w:t>
      </w:r>
    </w:p>
    <w:p>
      <w:r>
        <w:t>Objective: introduce only the persistence required for Phase 1 Recipe Core. Final table names and normalized relationships are technical-design decisions, but the design must satisfy v0.3 capabilities and owner-only security.</w:t>
      </w:r>
    </w:p>
    <w:p>
      <w:pPr>
        <w:pStyle w:val="Heading2"/>
      </w:pPr>
      <w:r>
        <w:t>6.1 Required data capabilities</w:t>
      </w:r>
    </w:p>
    <w:p>
      <w:pPr>
        <w:pStyle w:val="ListBullet"/>
      </w:pPr>
      <w:r>
        <w:t>Recipe stable identity, required Title, optional Source, Favorite, multiline Instructions, and operational timestamps.</w:t>
      </w:r>
    </w:p>
    <w:p>
      <w:pPr>
        <w:pStyle w:val="ListBullet"/>
      </w:pPr>
      <w:r>
        <w:t>Reusable Category and Cuisine values with create/select/rename and delete-when-unused behavior.</w:t>
      </w:r>
    </w:p>
    <w:p>
      <w:pPr>
        <w:pStyle w:val="ListBullet"/>
      </w:pPr>
      <w:r>
        <w:t>Multiple ordered ingredient sections with editable section names and preserved multiline text blocks, including blank-line preservation.</w:t>
      </w:r>
    </w:p>
    <w:p>
      <w:pPr>
        <w:pStyle w:val="ListBullet"/>
      </w:pPr>
      <w:r>
        <w:t>Data relationships that allow Category/Cuisine renames to appear consistently rather than creating unrelated duplicate text.</w:t>
      </w:r>
    </w:p>
    <w:p>
      <w:pPr>
        <w:pStyle w:val="ListBullet"/>
      </w:pPr>
      <w:r>
        <w:t>Physical design shall support case-insensitive substring search over Recipe title and ingredient text at the required application behavior level.</w:t>
      </w:r>
    </w:p>
    <w:p>
      <w:pPr>
        <w:pStyle w:val="Heading2"/>
      </w:pPr>
      <w:r>
        <w:t>6.2 Security/object design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1F4E78"/>
            <w:tcMar>
              <w:top w:w="90" w:type="dxa"/>
              <w:start w:w="100" w:type="dxa"/>
              <w:bottom w:w="90" w:type="dxa"/>
              <w:end w:w="100" w:type="dxa"/>
            </w:tcMar>
            <w:vAlign w:val="center"/>
          </w:tcPr>
          <w:p>
            <w:r>
              <w:rPr>
                <w:b/>
                <w:color w:val="FFFFFF"/>
                <w:sz w:val="16"/>
              </w:rPr>
              <w:t>Area</w:t>
            </w:r>
          </w:p>
        </w:tc>
        <w:tc>
          <w:tcPr>
            <w:tcW w:type="dxa" w:w="7920"/>
            <w:shd w:fill="1F4E78"/>
            <w:tcMar>
              <w:top w:w="90" w:type="dxa"/>
              <w:start w:w="100" w:type="dxa"/>
              <w:bottom w:w="90" w:type="dxa"/>
              <w:end w:w="100" w:type="dxa"/>
            </w:tcMar>
            <w:vAlign w:val="center"/>
          </w:tcPr>
          <w:p>
            <w:r>
              <w:rPr>
                <w:b/>
                <w:color w:val="FFFFFF"/>
                <w:sz w:val="16"/>
              </w:rPr>
              <w:t>Required design</w:t>
            </w:r>
          </w:p>
        </w:tc>
      </w:tr>
      <w:tr>
        <w:trPr>
          <w:cantSplit/>
        </w:trPr>
        <w:tc>
          <w:tcPr>
            <w:tcW w:type="dxa" w:w="1872"/>
            <w:tcMar>
              <w:top w:w="90" w:type="dxa"/>
              <w:start w:w="100" w:type="dxa"/>
              <w:bottom w:w="90" w:type="dxa"/>
              <w:end w:w="100" w:type="dxa"/>
            </w:tcMar>
            <w:vAlign w:val="center"/>
          </w:tcPr>
          <w:p>
            <w:r>
              <w:rPr>
                <w:sz w:val="16"/>
              </w:rPr>
              <w:t>Ownership</w:t>
            </w:r>
          </w:p>
        </w:tc>
        <w:tc>
          <w:tcPr>
            <w:tcW w:type="dxa" w:w="7920"/>
            <w:tcMar>
              <w:top w:w="90" w:type="dxa"/>
              <w:start w:w="100" w:type="dxa"/>
              <w:bottom w:w="90" w:type="dxa"/>
              <w:end w:w="100" w:type="dxa"/>
            </w:tcMar>
            <w:vAlign w:val="center"/>
          </w:tcPr>
          <w:p>
            <w:r>
              <w:rPr>
                <w:sz w:val="16"/>
              </w:rPr>
              <w:t>New application objects normally postgres-owned; unexpected supabase_admin ownership is a deployment blocker.</w:t>
            </w:r>
          </w:p>
        </w:tc>
      </w:tr>
      <w:tr>
        <w:trPr>
          <w:cantSplit/>
        </w:trPr>
        <w:tc>
          <w:tcPr>
            <w:tcW w:type="dxa" w:w="1872"/>
            <w:tcMar>
              <w:top w:w="90" w:type="dxa"/>
              <w:start w:w="100" w:type="dxa"/>
              <w:bottom w:w="90" w:type="dxa"/>
              <w:end w:w="100" w:type="dxa"/>
            </w:tcMar>
            <w:vAlign w:val="center"/>
          </w:tcPr>
          <w:p>
            <w:r>
              <w:rPr>
                <w:sz w:val="16"/>
              </w:rPr>
              <w:t>Grants</w:t>
            </w:r>
          </w:p>
        </w:tc>
        <w:tc>
          <w:tcPr>
            <w:tcW w:type="dxa" w:w="7920"/>
            <w:tcMar>
              <w:top w:w="90" w:type="dxa"/>
              <w:start w:w="100" w:type="dxa"/>
              <w:bottom w:w="90" w:type="dxa"/>
              <w:end w:w="100" w:type="dxa"/>
            </w:tcMar>
            <w:vAlign w:val="center"/>
          </w:tcPr>
          <w:p>
            <w:r>
              <w:rPr>
                <w:sz w:val="16"/>
              </w:rPr>
              <w:t>Explicitly revoke unintended PUBLIC/anon access; grant authenticated only the operations used by Phase 1.</w:t>
            </w:r>
          </w:p>
        </w:tc>
      </w:tr>
      <w:tr>
        <w:trPr>
          <w:cantSplit/>
        </w:trPr>
        <w:tc>
          <w:tcPr>
            <w:tcW w:type="dxa" w:w="1872"/>
            <w:tcMar>
              <w:top w:w="90" w:type="dxa"/>
              <w:start w:w="100" w:type="dxa"/>
              <w:bottom w:w="90" w:type="dxa"/>
              <w:end w:w="100" w:type="dxa"/>
            </w:tcMar>
            <w:vAlign w:val="center"/>
          </w:tcPr>
          <w:p>
            <w:r>
              <w:rPr>
                <w:sz w:val="16"/>
              </w:rPr>
              <w:t>RLS</w:t>
            </w:r>
          </w:p>
        </w:tc>
        <w:tc>
          <w:tcPr>
            <w:tcW w:type="dxa" w:w="7920"/>
            <w:tcMar>
              <w:top w:w="90" w:type="dxa"/>
              <w:start w:w="100" w:type="dxa"/>
              <w:bottom w:w="90" w:type="dxa"/>
              <w:end w:w="100" w:type="dxa"/>
            </w:tcMar>
            <w:vAlign w:val="center"/>
          </w:tcPr>
          <w:p>
            <w:r>
              <w:rPr>
                <w:sz w:val="16"/>
              </w:rPr>
              <w:t>Explicit RLS on browser-accessible tables with operation-specific exact-owner policies tied to the designated owner UUID.</w:t>
            </w:r>
          </w:p>
        </w:tc>
      </w:tr>
      <w:tr>
        <w:trPr>
          <w:cantSplit/>
        </w:trPr>
        <w:tc>
          <w:tcPr>
            <w:tcW w:type="dxa" w:w="1872"/>
            <w:tcMar>
              <w:top w:w="90" w:type="dxa"/>
              <w:start w:w="100" w:type="dxa"/>
              <w:bottom w:w="90" w:type="dxa"/>
              <w:end w:w="100" w:type="dxa"/>
            </w:tcMar>
            <w:vAlign w:val="center"/>
          </w:tcPr>
          <w:p>
            <w:r>
              <w:rPr>
                <w:sz w:val="16"/>
              </w:rPr>
              <w:t>RPCs</w:t>
            </w:r>
          </w:p>
        </w:tc>
        <w:tc>
          <w:tcPr>
            <w:tcW w:type="dxa" w:w="7920"/>
            <w:tcMar>
              <w:top w:w="90" w:type="dxa"/>
              <w:start w:w="100" w:type="dxa"/>
              <w:bottom w:w="90" w:type="dxa"/>
              <w:end w:w="100" w:type="dxa"/>
            </w:tcMar>
            <w:vAlign w:val="center"/>
          </w:tcPr>
          <w:p>
            <w:r>
              <w:rPr>
                <w:sz w:val="16"/>
              </w:rPr>
              <w:t>Avoid where direct RLS-protected operations suffice. If required, prefer SECURITY INVOKER with explicit EXECUTE ACL.</w:t>
            </w:r>
          </w:p>
        </w:tc>
      </w:tr>
      <w:tr>
        <w:trPr>
          <w:cantSplit/>
        </w:trPr>
        <w:tc>
          <w:tcPr>
            <w:tcW w:type="dxa" w:w="1872"/>
            <w:tcMar>
              <w:top w:w="90" w:type="dxa"/>
              <w:start w:w="100" w:type="dxa"/>
              <w:bottom w:w="90" w:type="dxa"/>
              <w:end w:w="100" w:type="dxa"/>
            </w:tcMar>
            <w:vAlign w:val="center"/>
          </w:tcPr>
          <w:p>
            <w:r>
              <w:rPr>
                <w:sz w:val="16"/>
              </w:rPr>
              <w:t>Views</w:t>
            </w:r>
          </w:p>
        </w:tc>
        <w:tc>
          <w:tcPr>
            <w:tcW w:type="dxa" w:w="7920"/>
            <w:tcMar>
              <w:top w:w="90" w:type="dxa"/>
              <w:start w:w="100" w:type="dxa"/>
              <w:bottom w:w="90" w:type="dxa"/>
              <w:end w:w="100" w:type="dxa"/>
            </w:tcMar>
            <w:vAlign w:val="center"/>
          </w:tcPr>
          <w:p>
            <w:r>
              <w:rPr>
                <w:sz w:val="16"/>
              </w:rPr>
              <w:t>Only if justified; explicitly configure/verify browser ACL and caller/security-invoker semantics.</w:t>
            </w:r>
          </w:p>
        </w:tc>
      </w:tr>
      <w:tr>
        <w:trPr>
          <w:cantSplit/>
        </w:trPr>
        <w:tc>
          <w:tcPr>
            <w:tcW w:type="dxa" w:w="1872"/>
            <w:tcMar>
              <w:top w:w="90" w:type="dxa"/>
              <w:start w:w="100" w:type="dxa"/>
              <w:bottom w:w="90" w:type="dxa"/>
              <w:end w:w="100" w:type="dxa"/>
            </w:tcMar>
            <w:vAlign w:val="center"/>
          </w:tcPr>
          <w:p>
            <w:r>
              <w:rPr>
                <w:sz w:val="16"/>
              </w:rPr>
              <w:t>Sequences</w:t>
            </w:r>
          </w:p>
        </w:tc>
        <w:tc>
          <w:tcPr>
            <w:tcW w:type="dxa" w:w="7920"/>
            <w:tcMar>
              <w:top w:w="90" w:type="dxa"/>
              <w:start w:w="100" w:type="dxa"/>
              <w:bottom w:w="90" w:type="dxa"/>
              <w:end w:w="100" w:type="dxa"/>
            </w:tcMar>
            <w:vAlign w:val="center"/>
          </w:tcPr>
          <w:p>
            <w:r>
              <w:rPr>
                <w:sz w:val="16"/>
              </w:rPr>
              <w:t>Only if generated by physical design; grant only required privileges and verify ACL.</w:t>
            </w:r>
          </w:p>
        </w:tc>
      </w:tr>
      <w:tr>
        <w:trPr>
          <w:cantSplit/>
        </w:trPr>
        <w:tc>
          <w:tcPr>
            <w:tcW w:type="dxa" w:w="1872"/>
            <w:tcMar>
              <w:top w:w="90" w:type="dxa"/>
              <w:start w:w="100" w:type="dxa"/>
              <w:bottom w:w="90" w:type="dxa"/>
              <w:end w:w="100" w:type="dxa"/>
            </w:tcMar>
            <w:vAlign w:val="center"/>
          </w:tcPr>
          <w:p>
            <w:r>
              <w:rPr>
                <w:sz w:val="16"/>
              </w:rPr>
              <w:t>Indexes/constraints</w:t>
            </w:r>
          </w:p>
        </w:tc>
        <w:tc>
          <w:tcPr>
            <w:tcW w:type="dxa" w:w="7920"/>
            <w:tcMar>
              <w:top w:w="90" w:type="dxa"/>
              <w:start w:w="100" w:type="dxa"/>
              <w:bottom w:w="90" w:type="dxa"/>
              <w:end w:w="100" w:type="dxa"/>
            </w:tcMar>
            <w:vAlign w:val="center"/>
          </w:tcPr>
          <w:p>
            <w:r>
              <w:rPr>
                <w:sz w:val="16"/>
              </w:rPr>
              <w:t>Choose based on integrity/query needs identified by current implementation; document rationale in technical design.</w:t>
            </w:r>
          </w:p>
        </w:tc>
      </w:tr>
      <w:tr>
        <w:trPr>
          <w:cantSplit/>
        </w:trPr>
        <w:tc>
          <w:tcPr>
            <w:tcW w:type="dxa" w:w="1872"/>
            <w:tcMar>
              <w:top w:w="90" w:type="dxa"/>
              <w:start w:w="100" w:type="dxa"/>
              <w:bottom w:w="90" w:type="dxa"/>
              <w:end w:w="100" w:type="dxa"/>
            </w:tcMar>
            <w:vAlign w:val="center"/>
          </w:tcPr>
          <w:p>
            <w:r>
              <w:rPr>
                <w:sz w:val="16"/>
              </w:rPr>
              <w:t>Deletion</w:t>
            </w:r>
          </w:p>
        </w:tc>
        <w:tc>
          <w:tcPr>
            <w:tcW w:type="dxa" w:w="7920"/>
            <w:tcMar>
              <w:top w:w="90" w:type="dxa"/>
              <w:start w:w="100" w:type="dxa"/>
              <w:bottom w:w="90" w:type="dxa"/>
              <w:end w:w="100" w:type="dxa"/>
            </w:tcMar>
            <w:vAlign w:val="center"/>
          </w:tcPr>
          <w:p>
            <w:r>
              <w:rPr>
                <w:sz w:val="16"/>
              </w:rPr>
              <w:t>Prefer real deletion. Do not introduce generalized tombstones for Recipes without a requirement-driven reason.</w:t>
            </w:r>
          </w:p>
        </w:tc>
      </w:tr>
    </w:tbl>
    <w:p/>
    <w:p>
      <w:pPr>
        <w:pStyle w:val="Heading2"/>
      </w:pPr>
      <w:r>
        <w:t>6.3 COPILOT deliverables before production authorization</w:t>
      </w:r>
    </w:p>
    <w:p>
      <w:pPr>
        <w:pStyle w:val="ListNumber"/>
      </w:pPr>
      <w:r>
        <w:t>Proposed schema/object inventory with operation matrix per object.</w:t>
      </w:r>
    </w:p>
    <w:p>
      <w:pPr>
        <w:pStyle w:val="ListNumber"/>
      </w:pPr>
      <w:r>
        <w:t>Source-controlled migration SQL with explicit ownership expectations, revokes/grants, RLS and policies.</w:t>
      </w:r>
    </w:p>
    <w:p>
      <w:pPr>
        <w:pStyle w:val="ListNumber"/>
      </w:pPr>
      <w:r>
        <w:t>Rollback/reversal strategy appropriate to the migration; preparing it does not authorize rollback execution.</w:t>
      </w:r>
    </w:p>
    <w:p>
      <w:pPr>
        <w:pStyle w:val="ListNumber"/>
      </w:pPr>
      <w:r>
        <w:t>Read-only preflight and post-deployment verification queries/scripts covering object existence/type/owner/ACL/RLS/policies/functions/views/sequences as applicable.</w:t>
      </w:r>
    </w:p>
    <w:p>
      <w:pPr>
        <w:pStyle w:val="ListNumber"/>
      </w:pPr>
      <w:r>
        <w:t>Automated local/security tests including anon denial, owner allow, synthetic non-owner denial, and no broker dependency.</w:t>
      </w:r>
    </w:p>
    <w:p>
      <w:pPr>
        <w:pStyle w:val="ListNumber"/>
      </w:pPr>
      <w:r>
        <w:t>Recipe service/data-access implementation/tests necessary to exercise the design locally.</w:t>
      </w:r>
    </w:p>
    <w:p>
      <w:pPr>
        <w:pStyle w:val="ListNumber"/>
      </w:pPr>
      <w:r>
        <w:t>Acceptance Workbook updates with migration filename, Git reference, target project, verification stage, blockers, and evidence placeholders/results.</w:t>
      </w:r>
    </w:p>
    <w:p>
      <w:pPr>
        <w:pStyle w:val="Heading2"/>
      </w:pPr>
      <w:r>
        <w:t>6.4 Production execution gate</w:t>
      </w:r>
    </w:p>
    <w:p>
      <w:pPr>
        <w:pStyle w:val="ListNumber"/>
      </w:pPr>
      <w:r>
        <w:t>Perform approved read-only production preflight against home-maintenance-app / tawvchmjtkgykwwvnnnn. Stop on drift or project mismatch.</w:t>
      </w:r>
    </w:p>
    <w:p>
      <w:pPr>
        <w:pStyle w:val="ListNumber"/>
      </w:pPr>
      <w:r>
        <w:t>Present the exact migration and effects for USER AUTHORIZATION.</w:t>
      </w:r>
    </w:p>
    <w:p>
      <w:pPr>
        <w:pStyle w:val="ListNumber"/>
      </w:pPr>
      <w:r>
        <w:t>After authorization, execute once. Do not automatically retry or rollback on failure.</w:t>
      </w:r>
    </w:p>
    <w:p>
      <w:pPr>
        <w:pStyle w:val="ListNumber"/>
      </w:pPr>
      <w:r>
        <w:t>Run automated read-only post-deployment catalog verification.</w:t>
      </w:r>
    </w:p>
    <w:p>
      <w:pPr>
        <w:pStyle w:val="ListNumber"/>
      </w:pPr>
      <w:r>
        <w:t>Run fresh owner functionality/security smoke tests and review Meals-related Security Advisor findings.</w:t>
      </w:r>
    </w:p>
    <w:p>
      <w:pPr>
        <w:pStyle w:val="ListNumber"/>
      </w:pPr>
      <w:r>
        <w:t>Update technical workbook rows; owner-UAT rows remain Ready to Test.</w:t>
      </w:r>
    </w:p>
    <w:p>
      <w:pPr>
        <w:pStyle w:val="Heading1"/>
      </w:pPr>
      <w:r>
        <w:t>7. Phase 1 - Recipe Core</w:t>
      </w:r>
    </w:p>
    <w:p>
      <w:r>
        <w:t>Outcome: a complete manually maintained Recipe library independent of Shopping and Planner integration.</w:t>
      </w:r>
    </w:p>
    <w:p>
      <w:pPr>
        <w:pStyle w:val="Heading2"/>
      </w:pPr>
      <w:r>
        <w:t>7.1 Recommended implementation slices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F4E78"/>
            <w:tcMar>
              <w:top w:w="90" w:type="dxa"/>
              <w:start w:w="100" w:type="dxa"/>
              <w:bottom w:w="90" w:type="dxa"/>
              <w:end w:w="100" w:type="dxa"/>
            </w:tcMar>
            <w:vAlign w:val="center"/>
          </w:tcPr>
          <w:p>
            <w:r>
              <w:rPr>
                <w:b/>
                <w:color w:val="FFFFFF"/>
                <w:sz w:val="16"/>
              </w:rPr>
              <w:t>Slice</w:t>
            </w:r>
          </w:p>
        </w:tc>
        <w:tc>
          <w:tcPr>
            <w:tcW w:type="dxa" w:w="2664"/>
            <w:shd w:fill="1F4E78"/>
            <w:tcMar>
              <w:top w:w="90" w:type="dxa"/>
              <w:start w:w="100" w:type="dxa"/>
              <w:bottom w:w="90" w:type="dxa"/>
              <w:end w:w="100" w:type="dxa"/>
            </w:tcMar>
            <w:vAlign w:val="center"/>
          </w:tcPr>
          <w:p>
            <w:r>
              <w:rPr>
                <w:b/>
                <w:color w:val="FFFFFF"/>
                <w:sz w:val="16"/>
              </w:rPr>
              <w:t>Requirement focus</w:t>
            </w:r>
          </w:p>
        </w:tc>
        <w:tc>
          <w:tcPr>
            <w:tcW w:type="dxa" w:w="5256"/>
            <w:shd w:fill="1F4E78"/>
            <w:tcMar>
              <w:top w:w="90" w:type="dxa"/>
              <w:start w:w="100" w:type="dxa"/>
              <w:bottom w:w="90" w:type="dxa"/>
              <w:end w:w="100" w:type="dxa"/>
            </w:tcMar>
            <w:vAlign w:val="center"/>
          </w:tcPr>
          <w:p>
            <w:r>
              <w:rPr>
                <w:b/>
                <w:color w:val="FFFFFF"/>
                <w:sz w:val="16"/>
              </w:rPr>
              <w:t>COPILOT outcome</w:t>
            </w:r>
          </w:p>
        </w:tc>
      </w:tr>
      <w:tr>
        <w:trPr>
          <w:cantSplit/>
        </w:trPr>
        <w:tc>
          <w:tcPr>
            <w:tcW w:type="dxa" w:w="1872"/>
            <w:tcMar>
              <w:top w:w="90" w:type="dxa"/>
              <w:start w:w="100" w:type="dxa"/>
              <w:bottom w:w="90" w:type="dxa"/>
              <w:end w:w="100" w:type="dxa"/>
            </w:tcMar>
            <w:vAlign w:val="center"/>
          </w:tcPr>
          <w:p>
            <w:r>
              <w:rPr>
                <w:sz w:val="16"/>
              </w:rPr>
              <w:t>1. Recipe service/model</w:t>
            </w:r>
          </w:p>
        </w:tc>
        <w:tc>
          <w:tcPr>
            <w:tcW w:type="dxa" w:w="2664"/>
            <w:tcMar>
              <w:top w:w="90" w:type="dxa"/>
              <w:start w:w="100" w:type="dxa"/>
              <w:bottom w:w="90" w:type="dxa"/>
              <w:end w:w="100" w:type="dxa"/>
            </w:tcMar>
            <w:vAlign w:val="center"/>
          </w:tcPr>
          <w:p>
            <w:r>
              <w:rPr>
                <w:sz w:val="16"/>
              </w:rPr>
              <w:t>RE-DATA, Category/Cuisine persistence/security</w:t>
            </w:r>
          </w:p>
        </w:tc>
        <w:tc>
          <w:tcPr>
            <w:tcW w:type="dxa" w:w="5256"/>
            <w:tcMar>
              <w:top w:w="90" w:type="dxa"/>
              <w:start w:w="100" w:type="dxa"/>
              <w:bottom w:w="90" w:type="dxa"/>
              <w:end w:w="100" w:type="dxa"/>
            </w:tcMar>
            <w:vAlign w:val="center"/>
          </w:tcPr>
          <w:p>
            <w:r>
              <w:rPr>
                <w:sz w:val="16"/>
              </w:rPr>
              <w:t>Stable CRUD/search contracts, validation, mapping, automated service tests.</w:t>
            </w:r>
          </w:p>
        </w:tc>
      </w:tr>
      <w:tr>
        <w:trPr>
          <w:cantSplit/>
        </w:trPr>
        <w:tc>
          <w:tcPr>
            <w:tcW w:type="dxa" w:w="1872"/>
            <w:tcMar>
              <w:top w:w="90" w:type="dxa"/>
              <w:start w:w="100" w:type="dxa"/>
              <w:bottom w:w="90" w:type="dxa"/>
              <w:end w:w="100" w:type="dxa"/>
            </w:tcMar>
            <w:vAlign w:val="center"/>
          </w:tcPr>
          <w:p>
            <w:r>
              <w:rPr>
                <w:sz w:val="16"/>
              </w:rPr>
              <w:t>2. Recipe Library</w:t>
            </w:r>
          </w:p>
        </w:tc>
        <w:tc>
          <w:tcPr>
            <w:tcW w:type="dxa" w:w="2664"/>
            <w:tcMar>
              <w:top w:w="90" w:type="dxa"/>
              <w:start w:w="100" w:type="dxa"/>
              <w:bottom w:w="90" w:type="dxa"/>
              <w:end w:w="100" w:type="dxa"/>
            </w:tcMar>
            <w:vAlign w:val="center"/>
          </w:tcPr>
          <w:p>
            <w:r>
              <w:rPr>
                <w:sz w:val="16"/>
              </w:rPr>
              <w:t>RL-*</w:t>
            </w:r>
          </w:p>
        </w:tc>
        <w:tc>
          <w:tcPr>
            <w:tcW w:type="dxa" w:w="5256"/>
            <w:tcMar>
              <w:top w:w="90" w:type="dxa"/>
              <w:start w:w="100" w:type="dxa"/>
              <w:bottom w:w="90" w:type="dxa"/>
              <w:end w:w="100" w:type="dxa"/>
            </w:tcMar>
            <w:vAlign w:val="center"/>
          </w:tcPr>
          <w:p>
            <w:r>
              <w:rPr>
                <w:sz w:val="16"/>
              </w:rPr>
              <w:t>Desktop/mobile library, title+ingredient search, filters, desktop sort, favorites, multi-select delete, one-selection Shopping action disabled until Phase 2 implementation as appropriate.</w:t>
            </w:r>
          </w:p>
        </w:tc>
      </w:tr>
      <w:tr>
        <w:trPr>
          <w:cantSplit/>
        </w:trPr>
        <w:tc>
          <w:tcPr>
            <w:tcW w:type="dxa" w:w="1872"/>
            <w:tcMar>
              <w:top w:w="90" w:type="dxa"/>
              <w:start w:w="100" w:type="dxa"/>
              <w:bottom w:w="90" w:type="dxa"/>
              <w:end w:w="100" w:type="dxa"/>
            </w:tcMar>
            <w:vAlign w:val="center"/>
          </w:tcPr>
          <w:p>
            <w:r>
              <w:rPr>
                <w:sz w:val="16"/>
              </w:rPr>
              <w:t>3. Recipe Editor</w:t>
            </w:r>
          </w:p>
        </w:tc>
        <w:tc>
          <w:tcPr>
            <w:tcW w:type="dxa" w:w="2664"/>
            <w:tcMar>
              <w:top w:w="90" w:type="dxa"/>
              <w:start w:w="100" w:type="dxa"/>
              <w:bottom w:w="90" w:type="dxa"/>
              <w:end w:w="100" w:type="dxa"/>
            </w:tcMar>
            <w:vAlign w:val="center"/>
          </w:tcPr>
          <w:p>
            <w:r>
              <w:rPr>
                <w:sz w:val="16"/>
              </w:rPr>
              <w:t>RE-*</w:t>
            </w:r>
          </w:p>
        </w:tc>
        <w:tc>
          <w:tcPr>
            <w:tcW w:type="dxa" w:w="5256"/>
            <w:tcMar>
              <w:top w:w="90" w:type="dxa"/>
              <w:start w:w="100" w:type="dxa"/>
              <w:bottom w:w="90" w:type="dxa"/>
              <w:end w:w="100" w:type="dxa"/>
            </w:tcMar>
            <w:vAlign w:val="center"/>
          </w:tcPr>
          <w:p>
            <w:r>
              <w:rPr>
                <w:sz w:val="16"/>
              </w:rPr>
              <w:t>Manual Add/Edit, default Ingredients section, multiline block preservation, Category/Cuisine create/manage, title-only validation, unsaved-change and failure behavior.</w:t>
            </w:r>
          </w:p>
        </w:tc>
      </w:tr>
      <w:tr>
        <w:trPr>
          <w:cantSplit/>
        </w:trPr>
        <w:tc>
          <w:tcPr>
            <w:tcW w:type="dxa" w:w="1872"/>
            <w:tcMar>
              <w:top w:w="90" w:type="dxa"/>
              <w:start w:w="100" w:type="dxa"/>
              <w:bottom w:w="90" w:type="dxa"/>
              <w:end w:w="100" w:type="dxa"/>
            </w:tcMar>
            <w:vAlign w:val="center"/>
          </w:tcPr>
          <w:p>
            <w:r>
              <w:rPr>
                <w:sz w:val="16"/>
              </w:rPr>
              <w:t>4. Recipe Detail</w:t>
            </w:r>
          </w:p>
        </w:tc>
        <w:tc>
          <w:tcPr>
            <w:tcW w:type="dxa" w:w="2664"/>
            <w:tcMar>
              <w:top w:w="90" w:type="dxa"/>
              <w:start w:w="100" w:type="dxa"/>
              <w:bottom w:w="90" w:type="dxa"/>
              <w:end w:w="100" w:type="dxa"/>
            </w:tcMar>
            <w:vAlign w:val="center"/>
          </w:tcPr>
          <w:p>
            <w:r>
              <w:rPr>
                <w:sz w:val="16"/>
              </w:rPr>
              <w:t>RD-*</w:t>
            </w:r>
          </w:p>
        </w:tc>
        <w:tc>
          <w:tcPr>
            <w:tcW w:type="dxa" w:w="5256"/>
            <w:tcMar>
              <w:top w:w="90" w:type="dxa"/>
              <w:start w:w="100" w:type="dxa"/>
              <w:bottom w:w="90" w:type="dxa"/>
              <w:end w:w="100" w:type="dxa"/>
            </w:tcMar>
            <w:vAlign w:val="center"/>
          </w:tcPr>
          <w:p>
            <w:r>
              <w:rPr>
                <w:sz w:val="16"/>
              </w:rPr>
              <w:t>Single-scroll detail, grouped ingredients, instructions, source behavior, favorite/edit/delete; Phase 2/3 actions may be visually deferred/disabled until their phase rather than inventing incomplete workflows.</w:t>
            </w:r>
          </w:p>
        </w:tc>
      </w:tr>
      <w:tr>
        <w:trPr>
          <w:cantSplit/>
        </w:trPr>
        <w:tc>
          <w:tcPr>
            <w:tcW w:type="dxa" w:w="1872"/>
            <w:tcMar>
              <w:top w:w="90" w:type="dxa"/>
              <w:start w:w="100" w:type="dxa"/>
              <w:bottom w:w="90" w:type="dxa"/>
              <w:end w:w="100" w:type="dxa"/>
            </w:tcMar>
            <w:vAlign w:val="center"/>
          </w:tcPr>
          <w:p>
            <w:r>
              <w:rPr>
                <w:sz w:val="16"/>
              </w:rPr>
              <w:t>5. Recipe acceptance/regression</w:t>
            </w:r>
          </w:p>
        </w:tc>
        <w:tc>
          <w:tcPr>
            <w:tcW w:type="dxa" w:w="2664"/>
            <w:tcMar>
              <w:top w:w="90" w:type="dxa"/>
              <w:start w:w="100" w:type="dxa"/>
              <w:bottom w:w="90" w:type="dxa"/>
              <w:end w:w="100" w:type="dxa"/>
            </w:tcMar>
            <w:vAlign w:val="center"/>
          </w:tcPr>
          <w:p>
            <w:r>
              <w:rPr>
                <w:sz w:val="16"/>
              </w:rPr>
              <w:t>STATE/RESP + E2E-01, E2E-02, E2E-10</w:t>
            </w:r>
          </w:p>
        </w:tc>
        <w:tc>
          <w:tcPr>
            <w:tcW w:type="dxa" w:w="5256"/>
            <w:tcMar>
              <w:top w:w="90" w:type="dxa"/>
              <w:start w:w="100" w:type="dxa"/>
              <w:bottom w:w="90" w:type="dxa"/>
              <w:end w:w="100" w:type="dxa"/>
            </w:tcMar>
            <w:vAlign w:val="center"/>
          </w:tcPr>
          <w:p>
            <w:r>
              <w:rPr>
                <w:sz w:val="16"/>
              </w:rPr>
              <w:t>Automated coverage, build/lint, technical workbook results, owner-UAT rows Ready to Test.</w:t>
            </w:r>
          </w:p>
        </w:tc>
      </w:tr>
    </w:tbl>
    <w:p/>
    <w:p>
      <w:pPr>
        <w:pStyle w:val="Heading2"/>
      </w:pPr>
      <w:r>
        <w:t>7.2 Important constraints</w:t>
      </w:r>
    </w:p>
    <w:p>
      <w:pPr>
        <w:pStyle w:val="ListBullet"/>
      </w:pPr>
      <w:r>
        <w:t>Do not implement Recipe Import in Phase 1.</w:t>
      </w:r>
    </w:p>
    <w:p>
      <w:pPr>
        <w:pStyle w:val="ListBullet"/>
      </w:pPr>
      <w:r>
        <w:t>Phase 1 acceptance cannot depend on Import.</w:t>
      </w:r>
    </w:p>
    <w:p>
      <w:pPr>
        <w:pStyle w:val="ListBullet"/>
      </w:pPr>
      <w:r>
        <w:t>Do not implement Shopping persistence merely to activate the future button.</w:t>
      </w:r>
    </w:p>
    <w:p>
      <w:pPr>
        <w:pStyle w:val="ListBullet"/>
      </w:pPr>
      <w:r>
        <w:t>Do not add Recipe Tags, images, nutrition, scaling, Cook Mode, timers, ratings, comments, version history, sharing, or AI assistance.</w:t>
      </w:r>
    </w:p>
    <w:p>
      <w:pPr>
        <w:pStyle w:val="ListBullet"/>
      </w:pPr>
      <w:r>
        <w:t>Desktop/mobile behavior must follow requirements; reuse existing app patterns for loading/error states rather than creating a new design system unless genuinely reusable extraction is justified.</w:t>
      </w:r>
    </w:p>
    <w:p>
      <w:pPr>
        <w:pStyle w:val="Heading2"/>
      </w:pPr>
      <w:r>
        <w:t>7.3 Phase 1 sign-off gate</w:t>
      </w:r>
    </w:p>
    <w:p>
      <w:pPr>
        <w:pStyle w:val="ListBullet"/>
      </w:pPr>
      <w:r>
        <w:t>All required Phase 1 technical/database/security checks pass.</w:t>
      </w:r>
    </w:p>
    <w:p>
      <w:pPr>
        <w:pStyle w:val="ListBullet"/>
      </w:pPr>
      <w:r>
        <w:t>Functional rows are Pass or owner-approved Pass with Known Issue; no blocking Fail/Blocked remains.</w:t>
      </w:r>
    </w:p>
    <w:p>
      <w:pPr>
        <w:pStyle w:val="ListBullet"/>
      </w:pPr>
      <w:r>
        <w:t>E2E-01, E2E-02, and E2E-10 pass as applicable.</w:t>
      </w:r>
    </w:p>
    <w:p>
      <w:pPr>
        <w:pStyle w:val="ListBullet"/>
      </w:pPr>
      <w:r>
        <w:t>Phase 0 authentication/navigation regression scope passes.</w:t>
      </w:r>
    </w:p>
    <w:p>
      <w:pPr>
        <w:pStyle w:val="ListBullet"/>
      </w:pPr>
      <w:r>
        <w:t>Owner sets Phase 1 Final Decision.</w:t>
      </w:r>
    </w:p>
    <w:p>
      <w:pPr>
        <w:pStyle w:val="Heading1"/>
      </w:pPr>
      <w:r>
        <w:t>8. Phase 2 - Shopping foundation and implementation</w:t>
      </w:r>
    </w:p>
    <w:p>
      <w:pPr>
        <w:pStyle w:val="Heading2"/>
      </w:pPr>
      <w:r>
        <w:t>8.1 Database technical design</w:t>
      </w:r>
    </w:p>
    <w:p>
      <w:pPr>
        <w:pStyle w:val="ListBullet"/>
      </w:pPr>
      <w:r>
        <w:t>Design only Shopping persistence required by Phase 2: predefined/custom category representation, Shopping item identity/text/category/checked/order/provenance as needed, and timestamps.</w:t>
      </w:r>
    </w:p>
    <w:p>
      <w:pPr>
        <w:pStyle w:val="ListBullet"/>
      </w:pPr>
      <w:r>
        <w:t>Seed/configure the 28 predefined categories in the approved configured order. Treat predefined values as non-renameable/non-deletable and custom values as owner-managed.</w:t>
      </w:r>
    </w:p>
    <w:p>
      <w:pPr>
        <w:pStyle w:val="ListBullet"/>
      </w:pPr>
      <w:r>
        <w:t>Design the minimal operation matrix needed for Shopping UI. Apply explicit ACL/RLS/exact-owner policies with the same security migration workflow used for Recipe storage.</w:t>
      </w:r>
    </w:p>
    <w:p>
      <w:pPr>
        <w:pStyle w:val="ListBullet"/>
      </w:pPr>
      <w:r>
        <w:t>Define auto-categorization as an implementation mechanism separate from ingredient parsing/normalization; best-effort assignment with user override is required, mathematical quantity/unit deduplication is not.</w:t>
      </w:r>
    </w:p>
    <w:p>
      <w:pPr>
        <w:pStyle w:val="Heading2"/>
      </w:pPr>
      <w:r>
        <w:t>8.2 Application implementation</w:t>
      </w:r>
    </w:p>
    <w:p>
      <w:pPr>
        <w:pStyle w:val="ListBullet"/>
      </w:pPr>
      <w:r>
        <w:t>Implement Add to Shopping List for exactly one Recipe at a time: grouped checklist, all selected initially, Select all/Clear all, disabled Add when zero selected, add selected nonblank lines verbatim.</w:t>
      </w:r>
    </w:p>
    <w:p>
      <w:pPr>
        <w:pStyle w:val="ListBullet"/>
      </w:pPr>
      <w:r>
        <w:t>Implement Shopping desktop/mobile views, manual item add/edit/remove, automatic category assignment, category override, custom category management, purchased state, checked-item sinking, Clear Checked, Clear List confirmation, category ordering, and mobile-only fully-checked auto-collapse.</w:t>
      </w:r>
    </w:p>
    <w:p>
      <w:pPr>
        <w:pStyle w:val="ListBullet"/>
      </w:pPr>
      <w:r>
        <w:t>Do not merge or suppress duplicates, including exact duplicates. Newly added items are new unchecked records.</w:t>
      </w:r>
    </w:p>
    <w:p>
      <w:pPr>
        <w:pStyle w:val="ListBullet"/>
      </w:pPr>
      <w:r>
        <w:t>Keep the Recipe Detail open after successful addition and provide confirmation with optional View Shopping List.</w:t>
      </w:r>
    </w:p>
    <w:p>
      <w:pPr>
        <w:pStyle w:val="Heading2"/>
      </w:pPr>
      <w:r>
        <w:t>8.3 Phase 2 acceptance/regression</w:t>
      </w:r>
    </w:p>
    <w:p>
      <w:pPr>
        <w:pStyle w:val="ListBullet"/>
      </w:pPr>
      <w:r>
        <w:t>Run analogous migration preflight/authorization/execute/verify gates for Shopping objects.</w:t>
      </w:r>
    </w:p>
    <w:p>
      <w:pPr>
        <w:pStyle w:val="ListBullet"/>
      </w:pPr>
      <w:r>
        <w:t>E2E-03, E2E-04, and E2E-11 plus applicable functional/security/database tests must pass.</w:t>
      </w:r>
    </w:p>
    <w:p>
      <w:pPr>
        <w:pStyle w:val="ListBullet"/>
      </w:pPr>
      <w:r>
        <w:t>Regression scope includes Recipe create/search/detail/favorite and relevant Phase 0 security/navigation.</w:t>
      </w:r>
    </w:p>
    <w:p>
      <w:pPr>
        <w:pStyle w:val="ListBullet"/>
      </w:pPr>
      <w:r>
        <w:t>Owner sets Phase 2 Final Decision.</w:t>
      </w:r>
    </w:p>
    <w:p>
      <w:pPr>
        <w:pStyle w:val="Heading1"/>
      </w:pPr>
      <w:r>
        <w:t>9. Phase 3 - Meal planning and Weekly Planner integration</w:t>
      </w:r>
    </w:p>
    <w:p>
      <w:pPr>
        <w:pStyle w:val="Heading2"/>
      </w:pPr>
      <w:r>
        <w:t>9.1 Database technical design</w:t>
      </w:r>
    </w:p>
    <w:p>
      <w:pPr>
        <w:pStyle w:val="ListBullet"/>
      </w:pPr>
      <w:r>
        <w:t>Create meal-plan persistence separate from planner_weekly_tasks and other Planner task storage.</w:t>
      </w:r>
    </w:p>
    <w:p>
      <w:pPr>
        <w:pStyle w:val="ListBullet"/>
      </w:pPr>
      <w:r>
        <w:t>Persist stable entry identity, Planner-compatible local date key, Breakfast/Lunch/Dinner type, optional Recipe relationship, insertion ordering, and display text sufficient to preserve a deleted Recipe occurrence as editable free text.</w:t>
      </w:r>
    </w:p>
    <w:p>
      <w:pPr>
        <w:pStyle w:val="ListBullet"/>
      </w:pPr>
      <w:r>
        <w:t>Ensure recipe-linked display can reflect Recipe title renames while a Recipe exists.</w:t>
      </w:r>
    </w:p>
    <w:p>
      <w:pPr>
        <w:pStyle w:val="ListBullet"/>
      </w:pPr>
      <w:r>
        <w:t>Apply explicit owner-only grants/RLS and the same migration/preflight/post-verification model.</w:t>
      </w:r>
    </w:p>
    <w:p>
      <w:pPr>
        <w:pStyle w:val="ListBullet"/>
      </w:pPr>
      <w:r>
        <w:t>Do not modify abandoned broker architecture as part of this migration.</w:t>
      </w:r>
    </w:p>
    <w:p>
      <w:pPr>
        <w:pStyle w:val="Heading2"/>
      </w:pPr>
      <w:r>
        <w:t>9.2 Application integration</w:t>
      </w:r>
    </w:p>
    <w:p>
      <w:pPr>
        <w:pStyle w:val="ListBullet"/>
      </w:pPr>
      <w:r>
        <w:t>Implement Plan Meal from Recipe with date default today, meal default Dinner, past dates allowed, duplicates allowed, Breakfast→morning, Lunch→afternoon, Dinner→evening.</w:t>
      </w:r>
    </w:p>
    <w:p>
      <w:pPr>
        <w:pStyle w:val="ListBullet"/>
      </w:pPr>
      <w:r>
        <w:t>After scheduling, keep Recipe Detail open; View in Planner opens the week containing scheduled date.</w:t>
      </w:r>
    </w:p>
    <w:p>
      <w:pPr>
        <w:pStyle w:val="ListBullet"/>
      </w:pPr>
      <w:r>
        <w:t>Compose dedicated Breakfast/Lunch/Dinner meal rows into the current Planner Morning/Afternoon/Evening presentation without turning meals into tasks or redesigning unrelated Planner behavior.</w:t>
      </w:r>
    </w:p>
    <w:p>
      <w:pPr>
        <w:pStyle w:val="ListBullet"/>
      </w:pPr>
      <w:r>
        <w:t>Always show the meal row with Add meal affordance; support multiple insertion-ordered entries and mixed Recipe/free-text items.</w:t>
      </w:r>
    </w:p>
    <w:p>
      <w:pPr>
        <w:pStyle w:val="ListBullet"/>
      </w:pPr>
      <w:r>
        <w:t>Planner Recipe picker searches Recipe Title only, shows favorite state without reordering, and validates free-text as nonblank.</w:t>
      </w:r>
    </w:p>
    <w:p>
      <w:pPr>
        <w:pStyle w:val="ListBullet"/>
      </w:pPr>
      <w:r>
        <w:t>Recipe-linked item actions: View/Remove. Free-text item actions: Edit/Remove. No removal confirmation.</w:t>
      </w:r>
    </w:p>
    <w:p>
      <w:pPr>
        <w:pStyle w:val="ListBullet"/>
      </w:pPr>
      <w:r>
        <w:t>On Recipe deletion, preserve linked scheduled occurrences as editable free text; when Recipe is only renamed, linked entries reflect current title.</w:t>
      </w:r>
    </w:p>
    <w:p>
      <w:pPr>
        <w:pStyle w:val="Heading2"/>
      </w:pPr>
      <w:r>
        <w:t>9.3 Phase 3 acceptance/regression</w:t>
      </w:r>
    </w:p>
    <w:p>
      <w:pPr>
        <w:pStyle w:val="ListBullet"/>
      </w:pPr>
      <w:r>
        <w:t>Run meal-plan migration preflight/authorization/verification gates.</w:t>
      </w:r>
    </w:p>
    <w:p>
      <w:pPr>
        <w:pStyle w:val="ListBullet"/>
      </w:pPr>
      <w:r>
        <w:t>E2E-05 through E2E-09 plus applicable functional/security/database tests must pass.</w:t>
      </w:r>
    </w:p>
    <w:p>
      <w:pPr>
        <w:pStyle w:val="ListBullet"/>
      </w:pPr>
      <w:r>
        <w:t>Regression scope includes Recipe core and Recipe-to-Shopping workflows.</w:t>
      </w:r>
    </w:p>
    <w:p>
      <w:pPr>
        <w:pStyle w:val="ListBullet"/>
      </w:pPr>
      <w:r>
        <w:t>Owner sets Phase 3 Final Decision.</w:t>
      </w:r>
    </w:p>
    <w:p>
      <w:pPr>
        <w:pStyle w:val="Heading1"/>
      </w:pPr>
      <w:r>
        <w:t>10. Recipe Import technical investigation - after Phase 1</w:t>
      </w:r>
    </w:p>
    <w:p>
      <w:r>
        <w:t>This investigation is deliberately separated from Phase 1 delivery. It must not delay acceptance of manual Recipe Core.</w:t>
      </w:r>
    </w:p>
    <w:p>
      <w:pPr>
        <w:pStyle w:val="Heading2"/>
      </w:pPr>
      <w:r>
        <w:t>10.1 COPILOT spike</w:t>
      </w:r>
    </w:p>
    <w:p>
      <w:pPr>
        <w:pStyle w:val="ListNumber"/>
      </w:pPr>
      <w:r>
        <w:t>Inspect the deployed architecture and identify where arbitrary external recipe URLs could be retrieved without weakening browser security or exposing privileged credentials.</w:t>
      </w:r>
    </w:p>
    <w:p>
      <w:pPr>
        <w:pStyle w:val="ListNumber"/>
      </w:pPr>
      <w:r>
        <w:t>Evaluate structured recipe metadata extraction and any necessary fallback parsing against a representative set of recipe websites selected for the spike.</w:t>
      </w:r>
    </w:p>
    <w:p>
      <w:pPr>
        <w:pStyle w:val="ListNumber"/>
      </w:pPr>
      <w:r>
        <w:t>Demonstrate mapping into the existing Recipe Editor model: title, source, ingredient sections/text, instructions, and supported classification fields without persisting before review.</w:t>
      </w:r>
    </w:p>
    <w:p>
      <w:pPr>
        <w:pStyle w:val="ListNumber"/>
      </w:pPr>
      <w:r>
        <w:t>Demonstrate successful, partial, and failed extraction behavior. Partial useful extraction must be reviewable.</w:t>
      </w:r>
    </w:p>
    <w:p>
      <w:pPr>
        <w:pStyle w:val="ListNumber"/>
      </w:pPr>
      <w:r>
        <w:t>Identify deployment/security implications, failure modes, site-compatibility limits, and ongoing maintenance cost.</w:t>
      </w:r>
    </w:p>
    <w:p>
      <w:pPr>
        <w:pStyle w:val="ListNumber"/>
      </w:pPr>
      <w:r>
        <w:t>Recommend Phase 4 implementation or deferral. Do not implement production Import without a new explicit scope decision.</w:t>
      </w:r>
    </w:p>
    <w:p>
      <w:pPr>
        <w:pStyle w:val="Heading1"/>
      </w:pPr>
      <w:r>
        <w:t>11. Acceptance Workbook integration</w:t>
      </w:r>
    </w:p>
    <w:p>
      <w:r>
        <w:t>Every Meals task must follow Acceptance Workbook Update Protocol.md. Copilot updates objective technical results directly in the existing workbook; the owner performs UAT and controls Pass with Known Issue and Final Decision entries.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8"/>
            <w:tcMar>
              <w:top w:w="90" w:type="dxa"/>
              <w:start w:w="100" w:type="dxa"/>
              <w:bottom w:w="90" w:type="dxa"/>
              <w:end w:w="100" w:type="dxa"/>
            </w:tcMar>
            <w:vAlign w:val="center"/>
          </w:tcPr>
          <w:p>
            <w:r>
              <w:rPr>
                <w:b/>
                <w:color w:val="FFFFFF"/>
                <w:sz w:val="16"/>
              </w:rPr>
              <w:t>Milestone</w:t>
            </w:r>
          </w:p>
        </w:tc>
        <w:tc>
          <w:tcPr>
            <w:tcW w:type="dxa" w:w="7200"/>
            <w:shd w:fill="1F4E78"/>
            <w:tcMar>
              <w:top w:w="90" w:type="dxa"/>
              <w:start w:w="100" w:type="dxa"/>
              <w:bottom w:w="90" w:type="dxa"/>
              <w:end w:w="100" w:type="dxa"/>
            </w:tcMar>
            <w:vAlign w:val="center"/>
          </w:tcPr>
          <w:p>
            <w:r>
              <w:rPr>
                <w:b/>
                <w:color w:val="FFFFFF"/>
                <w:sz w:val="16"/>
              </w:rPr>
              <w:t>Workbook behavior</w:t>
            </w:r>
          </w:p>
        </w:tc>
      </w:tr>
      <w:tr>
        <w:trPr>
          <w:cantSplit/>
        </w:trPr>
        <w:tc>
          <w:tcPr>
            <w:tcW w:type="dxa" w:w="2592"/>
            <w:tcMar>
              <w:top w:w="90" w:type="dxa"/>
              <w:start w:w="100" w:type="dxa"/>
              <w:bottom w:w="90" w:type="dxa"/>
              <w:end w:w="100" w:type="dxa"/>
            </w:tcMar>
            <w:vAlign w:val="center"/>
          </w:tcPr>
          <w:p>
            <w:r>
              <w:rPr>
                <w:sz w:val="16"/>
              </w:rPr>
              <w:t>Before implementation</w:t>
            </w:r>
          </w:p>
        </w:tc>
        <w:tc>
          <w:tcPr>
            <w:tcW w:type="dxa" w:w="7200"/>
            <w:tcMar>
              <w:top w:w="90" w:type="dxa"/>
              <w:start w:w="100" w:type="dxa"/>
              <w:bottom w:w="90" w:type="dxa"/>
              <w:end w:w="100" w:type="dxa"/>
            </w:tcMar>
            <w:vAlign w:val="center"/>
          </w:tcPr>
          <w:p>
            <w:r>
              <w:rPr>
                <w:sz w:val="16"/>
              </w:rPr>
              <w:t>Applicable rows remain Not Built; task identifies Requirement/Test IDs and Test Run ID.</w:t>
            </w:r>
          </w:p>
        </w:tc>
      </w:tr>
      <w:tr>
        <w:trPr>
          <w:cantSplit/>
        </w:trPr>
        <w:tc>
          <w:tcPr>
            <w:tcW w:type="dxa" w:w="2592"/>
            <w:tcMar>
              <w:top w:w="90" w:type="dxa"/>
              <w:start w:w="100" w:type="dxa"/>
              <w:bottom w:w="90" w:type="dxa"/>
              <w:end w:w="100" w:type="dxa"/>
            </w:tcMar>
            <w:vAlign w:val="center"/>
          </w:tcPr>
          <w:p>
            <w:r>
              <w:rPr>
                <w:sz w:val="16"/>
              </w:rPr>
              <w:t>Technical implementation complete</w:t>
            </w:r>
          </w:p>
        </w:tc>
        <w:tc>
          <w:tcPr>
            <w:tcW w:type="dxa" w:w="7200"/>
            <w:tcMar>
              <w:top w:w="90" w:type="dxa"/>
              <w:start w:w="100" w:type="dxa"/>
              <w:bottom w:w="90" w:type="dxa"/>
              <w:end w:w="100" w:type="dxa"/>
            </w:tcMar>
            <w:vAlign w:val="center"/>
          </w:tcPr>
          <w:p>
            <w:r>
              <w:rPr>
                <w:sz w:val="16"/>
              </w:rPr>
              <w:t>Objective technical tests may be Pass with evidence; owner-UAT rows move to Ready to Test.</w:t>
            </w:r>
          </w:p>
        </w:tc>
      </w:tr>
      <w:tr>
        <w:trPr>
          <w:cantSplit/>
        </w:trPr>
        <w:tc>
          <w:tcPr>
            <w:tcW w:type="dxa" w:w="2592"/>
            <w:tcMar>
              <w:top w:w="90" w:type="dxa"/>
              <w:start w:w="100" w:type="dxa"/>
              <w:bottom w:w="90" w:type="dxa"/>
              <w:end w:w="100" w:type="dxa"/>
            </w:tcMar>
            <w:vAlign w:val="center"/>
          </w:tcPr>
          <w:p>
            <w:r>
              <w:rPr>
                <w:sz w:val="16"/>
              </w:rPr>
              <w:t>Defect found</w:t>
            </w:r>
          </w:p>
        </w:tc>
        <w:tc>
          <w:tcPr>
            <w:tcW w:type="dxa" w:w="7200"/>
            <w:tcMar>
              <w:top w:w="90" w:type="dxa"/>
              <w:start w:w="100" w:type="dxa"/>
              <w:bottom w:w="90" w:type="dxa"/>
              <w:end w:w="100" w:type="dxa"/>
            </w:tcMar>
            <w:vAlign w:val="center"/>
          </w:tcPr>
          <w:p>
            <w:r>
              <w:rPr>
                <w:sz w:val="16"/>
              </w:rPr>
              <w:t>Set Fail/Blocked as appropriate; assign MEALS-DEF-### and record evidence/notes.</w:t>
            </w:r>
          </w:p>
        </w:tc>
      </w:tr>
      <w:tr>
        <w:trPr>
          <w:cantSplit/>
        </w:trPr>
        <w:tc>
          <w:tcPr>
            <w:tcW w:type="dxa" w:w="2592"/>
            <w:tcMar>
              <w:top w:w="90" w:type="dxa"/>
              <w:start w:w="100" w:type="dxa"/>
              <w:bottom w:w="90" w:type="dxa"/>
              <w:end w:w="100" w:type="dxa"/>
            </w:tcMar>
            <w:vAlign w:val="center"/>
          </w:tcPr>
          <w:p>
            <w:r>
              <w:rPr>
                <w:sz w:val="16"/>
              </w:rPr>
              <w:t>Defect fixed</w:t>
            </w:r>
          </w:p>
        </w:tc>
        <w:tc>
          <w:tcPr>
            <w:tcW w:type="dxa" w:w="7200"/>
            <w:tcMar>
              <w:top w:w="90" w:type="dxa"/>
              <w:start w:w="100" w:type="dxa"/>
              <w:bottom w:w="90" w:type="dxa"/>
              <w:end w:w="100" w:type="dxa"/>
            </w:tcMar>
            <w:vAlign w:val="center"/>
          </w:tcPr>
          <w:p>
            <w:r>
              <w:rPr>
                <w:sz w:val="16"/>
              </w:rPr>
              <w:t>Run regression; for owner UAT change Fail → Ready to Test, never directly to owner Pass.</w:t>
            </w:r>
          </w:p>
        </w:tc>
      </w:tr>
      <w:tr>
        <w:trPr>
          <w:cantSplit/>
        </w:trPr>
        <w:tc>
          <w:tcPr>
            <w:tcW w:type="dxa" w:w="2592"/>
            <w:tcMar>
              <w:top w:w="90" w:type="dxa"/>
              <w:start w:w="100" w:type="dxa"/>
              <w:bottom w:w="90" w:type="dxa"/>
              <w:end w:w="100" w:type="dxa"/>
            </w:tcMar>
            <w:vAlign w:val="center"/>
          </w:tcPr>
          <w:p>
            <w:r>
              <w:rPr>
                <w:sz w:val="16"/>
              </w:rPr>
              <w:t>Database migration</w:t>
            </w:r>
          </w:p>
        </w:tc>
        <w:tc>
          <w:tcPr>
            <w:tcW w:type="dxa" w:w="7200"/>
            <w:tcMar>
              <w:top w:w="90" w:type="dxa"/>
              <w:start w:w="100" w:type="dxa"/>
              <w:bottom w:w="90" w:type="dxa"/>
              <w:end w:w="100" w:type="dxa"/>
            </w:tcMar>
            <w:vAlign w:val="center"/>
          </w:tcPr>
          <w:p>
            <w:r>
              <w:rPr>
                <w:sz w:val="16"/>
              </w:rPr>
              <w:t>Populate migration/Git/project/stage/blocker/rollback/evidence fields before and after authorized production execution.</w:t>
            </w:r>
          </w:p>
        </w:tc>
      </w:tr>
      <w:tr>
        <w:trPr>
          <w:cantSplit/>
        </w:trPr>
        <w:tc>
          <w:tcPr>
            <w:tcW w:type="dxa" w:w="2592"/>
            <w:tcMar>
              <w:top w:w="90" w:type="dxa"/>
              <w:start w:w="100" w:type="dxa"/>
              <w:bottom w:w="90" w:type="dxa"/>
              <w:end w:w="100" w:type="dxa"/>
            </w:tcMar>
            <w:vAlign w:val="center"/>
          </w:tcPr>
          <w:p>
            <w:r>
              <w:rPr>
                <w:sz w:val="16"/>
              </w:rPr>
              <w:t>Phase ready</w:t>
            </w:r>
          </w:p>
        </w:tc>
        <w:tc>
          <w:tcPr>
            <w:tcW w:type="dxa" w:w="7200"/>
            <w:tcMar>
              <w:top w:w="90" w:type="dxa"/>
              <w:start w:w="100" w:type="dxa"/>
              <w:bottom w:w="90" w:type="dxa"/>
              <w:end w:w="100" w:type="dxa"/>
            </w:tcMar>
            <w:vAlign w:val="center"/>
          </w:tcPr>
          <w:p>
            <w:r>
              <w:rPr>
                <w:sz w:val="16"/>
              </w:rPr>
              <w:t>Coverage has verifiable methods; regression scope explicit; owner performs Phase Sign-Off.</w:t>
            </w:r>
          </w:p>
        </w:tc>
      </w:tr>
    </w:tbl>
    <w:p/>
    <w:p>
      <w:pPr>
        <w:pStyle w:val="Heading1"/>
      </w:pPr>
      <w:r>
        <w:t>12. Testing strategy expected from Copilot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8"/>
            <w:tcMar>
              <w:top w:w="90" w:type="dxa"/>
              <w:start w:w="100" w:type="dxa"/>
              <w:bottom w:w="90" w:type="dxa"/>
              <w:end w:w="100" w:type="dxa"/>
            </w:tcMar>
            <w:vAlign w:val="center"/>
          </w:tcPr>
          <w:p>
            <w:r>
              <w:rPr>
                <w:b/>
                <w:color w:val="FFFFFF"/>
                <w:sz w:val="16"/>
              </w:rPr>
              <w:t>Layer</w:t>
            </w:r>
          </w:p>
        </w:tc>
        <w:tc>
          <w:tcPr>
            <w:tcW w:type="dxa" w:w="7632"/>
            <w:shd w:fill="1F4E78"/>
            <w:tcMar>
              <w:top w:w="90" w:type="dxa"/>
              <w:start w:w="100" w:type="dxa"/>
              <w:bottom w:w="90" w:type="dxa"/>
              <w:end w:w="100" w:type="dxa"/>
            </w:tcMar>
            <w:vAlign w:val="center"/>
          </w:tcPr>
          <w:p>
            <w:r>
              <w:rPr>
                <w:b/>
                <w:color w:val="FFFFFF"/>
                <w:sz w:val="16"/>
              </w:rPr>
              <w:t>Expectation</w:t>
            </w:r>
          </w:p>
        </w:tc>
      </w:tr>
      <w:tr>
        <w:trPr>
          <w:cantSplit/>
        </w:trPr>
        <w:tc>
          <w:tcPr>
            <w:tcW w:type="dxa" w:w="2160"/>
            <w:tcMar>
              <w:top w:w="90" w:type="dxa"/>
              <w:start w:w="100" w:type="dxa"/>
              <w:bottom w:w="90" w:type="dxa"/>
              <w:end w:w="100" w:type="dxa"/>
            </w:tcMar>
            <w:vAlign w:val="center"/>
          </w:tcPr>
          <w:p>
            <w:r>
              <w:rPr>
                <w:sz w:val="16"/>
              </w:rPr>
              <w:t>Service/data access</w:t>
            </w:r>
          </w:p>
        </w:tc>
        <w:tc>
          <w:tcPr>
            <w:tcW w:type="dxa" w:w="7632"/>
            <w:tcMar>
              <w:top w:w="90" w:type="dxa"/>
              <w:start w:w="100" w:type="dxa"/>
              <w:bottom w:w="90" w:type="dxa"/>
              <w:end w:w="100" w:type="dxa"/>
            </w:tcMar>
            <w:vAlign w:val="center"/>
          </w:tcPr>
          <w:p>
            <w:r>
              <w:rPr>
                <w:sz w:val="16"/>
              </w:rPr>
              <w:t>Test validation, mapping, error handling, identity, CRUD/search behavior, and failure/retry contract using injectable/mocked test clients consistent with repository patterns.</w:t>
            </w:r>
          </w:p>
        </w:tc>
      </w:tr>
      <w:tr>
        <w:trPr>
          <w:cantSplit/>
        </w:trPr>
        <w:tc>
          <w:tcPr>
            <w:tcW w:type="dxa" w:w="2160"/>
            <w:tcMar>
              <w:top w:w="90" w:type="dxa"/>
              <w:start w:w="100" w:type="dxa"/>
              <w:bottom w:w="90" w:type="dxa"/>
              <w:end w:w="100" w:type="dxa"/>
            </w:tcMar>
            <w:vAlign w:val="center"/>
          </w:tcPr>
          <w:p>
            <w:r>
              <w:rPr>
                <w:sz w:val="16"/>
              </w:rPr>
              <w:t>Component/interaction</w:t>
            </w:r>
          </w:p>
        </w:tc>
        <w:tc>
          <w:tcPr>
            <w:tcW w:type="dxa" w:w="7632"/>
            <w:tcMar>
              <w:top w:w="90" w:type="dxa"/>
              <w:start w:w="100" w:type="dxa"/>
              <w:bottom w:w="90" w:type="dxa"/>
              <w:end w:w="100" w:type="dxa"/>
            </w:tcMar>
            <w:vAlign w:val="center"/>
          </w:tcPr>
          <w:p>
            <w:r>
              <w:rPr>
                <w:sz w:val="16"/>
              </w:rPr>
              <w:t>Test high-risk control behavior: Favorite hit target vs row navigation, selection enablement, editor validation/discard behavior, Shopping checklist/category behavior, Planner meal actions.</w:t>
            </w:r>
          </w:p>
        </w:tc>
      </w:tr>
      <w:tr>
        <w:trPr>
          <w:cantSplit/>
        </w:trPr>
        <w:tc>
          <w:tcPr>
            <w:tcW w:type="dxa" w:w="2160"/>
            <w:tcMar>
              <w:top w:w="90" w:type="dxa"/>
              <w:start w:w="100" w:type="dxa"/>
              <w:bottom w:w="90" w:type="dxa"/>
              <w:end w:w="100" w:type="dxa"/>
            </w:tcMar>
            <w:vAlign w:val="center"/>
          </w:tcPr>
          <w:p>
            <w:r>
              <w:rPr>
                <w:sz w:val="16"/>
              </w:rPr>
              <w:t>Routing/auth</w:t>
            </w:r>
          </w:p>
        </w:tc>
        <w:tc>
          <w:tcPr>
            <w:tcW w:type="dxa" w:w="7632"/>
            <w:tcMar>
              <w:top w:w="90" w:type="dxa"/>
              <w:start w:w="100" w:type="dxa"/>
              <w:bottom w:w="90" w:type="dxa"/>
              <w:end w:w="100" w:type="dxa"/>
            </w:tcMar>
            <w:vAlign w:val="center"/>
          </w:tcPr>
          <w:p>
            <w:r>
              <w:rPr>
                <w:sz w:val="16"/>
              </w:rPr>
              <w:t>Test /meals routing/redirect/deep links and logged-out private behavior.</w:t>
            </w:r>
          </w:p>
        </w:tc>
      </w:tr>
      <w:tr>
        <w:trPr>
          <w:cantSplit/>
        </w:trPr>
        <w:tc>
          <w:tcPr>
            <w:tcW w:type="dxa" w:w="2160"/>
            <w:tcMar>
              <w:top w:w="90" w:type="dxa"/>
              <w:start w:w="100" w:type="dxa"/>
              <w:bottom w:w="90" w:type="dxa"/>
              <w:end w:w="100" w:type="dxa"/>
            </w:tcMar>
            <w:vAlign w:val="center"/>
          </w:tcPr>
          <w:p>
            <w:r>
              <w:rPr>
                <w:sz w:val="16"/>
              </w:rPr>
              <w:t>Security</w:t>
            </w:r>
          </w:p>
        </w:tc>
        <w:tc>
          <w:tcPr>
            <w:tcW w:type="dxa" w:w="7632"/>
            <w:tcMar>
              <w:top w:w="90" w:type="dxa"/>
              <w:start w:w="100" w:type="dxa"/>
              <w:bottom w:w="90" w:type="dxa"/>
              <w:end w:w="100" w:type="dxa"/>
            </w:tcMar>
            <w:vAlign w:val="center"/>
          </w:tcPr>
          <w:p>
            <w:r>
              <w:rPr>
                <w:sz w:val="16"/>
              </w:rPr>
              <w:t>Test anon denial, exact owner success, synthetic authenticated non-owner denial, no service_role browser exposure, no broker dependency.</w:t>
            </w:r>
          </w:p>
        </w:tc>
      </w:tr>
      <w:tr>
        <w:trPr>
          <w:cantSplit/>
        </w:trPr>
        <w:tc>
          <w:tcPr>
            <w:tcW w:type="dxa" w:w="2160"/>
            <w:tcMar>
              <w:top w:w="90" w:type="dxa"/>
              <w:start w:w="100" w:type="dxa"/>
              <w:bottom w:w="90" w:type="dxa"/>
              <w:end w:w="100" w:type="dxa"/>
            </w:tcMar>
            <w:vAlign w:val="center"/>
          </w:tcPr>
          <w:p>
            <w:r>
              <w:rPr>
                <w:sz w:val="16"/>
              </w:rPr>
              <w:t>Database catalog</w:t>
            </w:r>
          </w:p>
        </w:tc>
        <w:tc>
          <w:tcPr>
            <w:tcW w:type="dxa" w:w="7632"/>
            <w:tcMar>
              <w:top w:w="90" w:type="dxa"/>
              <w:start w:w="100" w:type="dxa"/>
              <w:bottom w:w="90" w:type="dxa"/>
              <w:end w:w="100" w:type="dxa"/>
            </w:tcMar>
            <w:vAlign w:val="center"/>
          </w:tcPr>
          <w:p>
            <w:r>
              <w:rPr>
                <w:sz w:val="16"/>
              </w:rPr>
              <w:t>Verify object owner/type/ACL/RLS/policies and functions/views/sequences if applicable through source-controlled read-only checks.</w:t>
            </w:r>
          </w:p>
        </w:tc>
      </w:tr>
      <w:tr>
        <w:trPr>
          <w:cantSplit/>
        </w:trPr>
        <w:tc>
          <w:tcPr>
            <w:tcW w:type="dxa" w:w="2160"/>
            <w:tcMar>
              <w:top w:w="90" w:type="dxa"/>
              <w:start w:w="100" w:type="dxa"/>
              <w:bottom w:w="90" w:type="dxa"/>
              <w:end w:w="100" w:type="dxa"/>
            </w:tcMar>
            <w:vAlign w:val="center"/>
          </w:tcPr>
          <w:p>
            <w:r>
              <w:rPr>
                <w:sz w:val="16"/>
              </w:rPr>
              <w:t>End-to-end/UAT preparation</w:t>
            </w:r>
          </w:p>
        </w:tc>
        <w:tc>
          <w:tcPr>
            <w:tcW w:type="dxa" w:w="7632"/>
            <w:tcMar>
              <w:top w:w="90" w:type="dxa"/>
              <w:start w:w="100" w:type="dxa"/>
              <w:bottom w:w="90" w:type="dxa"/>
              <w:end w:w="100" w:type="dxa"/>
            </w:tcMar>
            <w:vAlign w:val="center"/>
          </w:tcPr>
          <w:p>
            <w:r>
              <w:rPr>
                <w:sz w:val="16"/>
              </w:rPr>
              <w:t>Prepare deterministic test data and cleanup for workbook E2E scenarios; owner executes judgment-based UAT.</w:t>
            </w:r>
          </w:p>
        </w:tc>
      </w:tr>
      <w:tr>
        <w:trPr>
          <w:cantSplit/>
        </w:trPr>
        <w:tc>
          <w:tcPr>
            <w:tcW w:type="dxa" w:w="2160"/>
            <w:tcMar>
              <w:top w:w="90" w:type="dxa"/>
              <w:start w:w="100" w:type="dxa"/>
              <w:bottom w:w="90" w:type="dxa"/>
              <w:end w:w="100" w:type="dxa"/>
            </w:tcMar>
            <w:vAlign w:val="center"/>
          </w:tcPr>
          <w:p>
            <w:r>
              <w:rPr>
                <w:sz w:val="16"/>
              </w:rPr>
              <w:t>Regression</w:t>
            </w:r>
          </w:p>
        </w:tc>
        <w:tc>
          <w:tcPr>
            <w:tcW w:type="dxa" w:w="7632"/>
            <w:tcMar>
              <w:top w:w="90" w:type="dxa"/>
              <w:start w:w="100" w:type="dxa"/>
              <w:bottom w:w="90" w:type="dxa"/>
              <w:end w:w="100" w:type="dxa"/>
            </w:tcMar>
            <w:vAlign w:val="center"/>
          </w:tcPr>
          <w:p>
            <w:r>
              <w:rPr>
                <w:sz w:val="16"/>
              </w:rPr>
              <w:t>Each phase reruns the workbook-defined regression scope for prior accepted behavior.</w:t>
            </w:r>
          </w:p>
        </w:tc>
      </w:tr>
    </w:tbl>
    <w:p/>
    <w:p>
      <w:pPr>
        <w:pStyle w:val="Heading1"/>
      </w:pPr>
      <w:r>
        <w:t>13. Database &amp; Supabase change register</w:t>
      </w:r>
    </w:p>
    <w:p>
      <w:r>
        <w:t>The Implementation Plan does not preselect final table names. For every phase-specific migration, Copilot must update the workbook Database Verification sheet and provide this information in the task report.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8"/>
            <w:tcMar>
              <w:top w:w="90" w:type="dxa"/>
              <w:start w:w="100" w:type="dxa"/>
              <w:bottom w:w="90" w:type="dxa"/>
              <w:end w:w="100" w:type="dxa"/>
            </w:tcMar>
            <w:vAlign w:val="center"/>
          </w:tcPr>
          <w:p>
            <w:r>
              <w:rPr>
                <w:b/>
                <w:color w:val="FFFFFF"/>
                <w:sz w:val="16"/>
              </w:rPr>
              <w:t>Field</w:t>
            </w:r>
          </w:p>
        </w:tc>
        <w:tc>
          <w:tcPr>
            <w:tcW w:type="dxa" w:w="7200"/>
            <w:shd w:fill="1F4E78"/>
            <w:tcMar>
              <w:top w:w="90" w:type="dxa"/>
              <w:start w:w="100" w:type="dxa"/>
              <w:bottom w:w="90" w:type="dxa"/>
              <w:end w:w="100" w:type="dxa"/>
            </w:tcMar>
            <w:vAlign w:val="center"/>
          </w:tcPr>
          <w:p>
            <w:r>
              <w:rPr>
                <w:b/>
                <w:color w:val="FFFFFF"/>
                <w:sz w:val="16"/>
              </w:rPr>
              <w:t>Required content</w:t>
            </w:r>
          </w:p>
        </w:tc>
      </w:tr>
      <w:tr>
        <w:trPr>
          <w:cantSplit/>
        </w:trPr>
        <w:tc>
          <w:tcPr>
            <w:tcW w:type="dxa" w:w="2592"/>
            <w:tcMar>
              <w:top w:w="90" w:type="dxa"/>
              <w:start w:w="100" w:type="dxa"/>
              <w:bottom w:w="90" w:type="dxa"/>
              <w:end w:w="100" w:type="dxa"/>
            </w:tcMar>
            <w:vAlign w:val="center"/>
          </w:tcPr>
          <w:p>
            <w:r>
              <w:rPr>
                <w:sz w:val="16"/>
              </w:rPr>
              <w:t>Change ID / Phase</w:t>
            </w:r>
          </w:p>
        </w:tc>
        <w:tc>
          <w:tcPr>
            <w:tcW w:type="dxa" w:w="7200"/>
            <w:tcMar>
              <w:top w:w="90" w:type="dxa"/>
              <w:start w:w="100" w:type="dxa"/>
              <w:bottom w:w="90" w:type="dxa"/>
              <w:end w:w="100" w:type="dxa"/>
            </w:tcMar>
            <w:vAlign w:val="center"/>
          </w:tcPr>
          <w:p>
            <w:r>
              <w:rPr>
                <w:sz w:val="16"/>
              </w:rPr>
              <w:t>Stable identifier and phase.</w:t>
            </w:r>
          </w:p>
        </w:tc>
      </w:tr>
      <w:tr>
        <w:trPr>
          <w:cantSplit/>
        </w:trPr>
        <w:tc>
          <w:tcPr>
            <w:tcW w:type="dxa" w:w="2592"/>
            <w:tcMar>
              <w:top w:w="90" w:type="dxa"/>
              <w:start w:w="100" w:type="dxa"/>
              <w:bottom w:w="90" w:type="dxa"/>
              <w:end w:w="100" w:type="dxa"/>
            </w:tcMar>
            <w:vAlign w:val="center"/>
          </w:tcPr>
          <w:p>
            <w:r>
              <w:rPr>
                <w:sz w:val="16"/>
              </w:rPr>
              <w:t>Requirement IDs</w:t>
            </w:r>
          </w:p>
        </w:tc>
        <w:tc>
          <w:tcPr>
            <w:tcW w:type="dxa" w:w="7200"/>
            <w:tcMar>
              <w:top w:w="90" w:type="dxa"/>
              <w:start w:w="100" w:type="dxa"/>
              <w:bottom w:w="90" w:type="dxa"/>
              <w:end w:w="100" w:type="dxa"/>
            </w:tcMar>
            <w:vAlign w:val="center"/>
          </w:tcPr>
          <w:p>
            <w:r>
              <w:rPr>
                <w:sz w:val="16"/>
              </w:rPr>
              <w:t>Requirements enabled by the database change.</w:t>
            </w:r>
          </w:p>
        </w:tc>
      </w:tr>
      <w:tr>
        <w:trPr>
          <w:cantSplit/>
        </w:trPr>
        <w:tc>
          <w:tcPr>
            <w:tcW w:type="dxa" w:w="2592"/>
            <w:tcMar>
              <w:top w:w="90" w:type="dxa"/>
              <w:start w:w="100" w:type="dxa"/>
              <w:bottom w:w="90" w:type="dxa"/>
              <w:end w:w="100" w:type="dxa"/>
            </w:tcMar>
            <w:vAlign w:val="center"/>
          </w:tcPr>
          <w:p>
            <w:r>
              <w:rPr>
                <w:sz w:val="16"/>
              </w:rPr>
              <w:t>Migration filename</w:t>
            </w:r>
          </w:p>
        </w:tc>
        <w:tc>
          <w:tcPr>
            <w:tcW w:type="dxa" w:w="7200"/>
            <w:tcMar>
              <w:top w:w="90" w:type="dxa"/>
              <w:start w:w="100" w:type="dxa"/>
              <w:bottom w:w="90" w:type="dxa"/>
              <w:end w:w="100" w:type="dxa"/>
            </w:tcMar>
            <w:vAlign w:val="center"/>
          </w:tcPr>
          <w:p>
            <w:r>
              <w:rPr>
                <w:sz w:val="16"/>
              </w:rPr>
              <w:t>Exact source-controlled migration filename.</w:t>
            </w:r>
          </w:p>
        </w:tc>
      </w:tr>
      <w:tr>
        <w:trPr>
          <w:cantSplit/>
        </w:trPr>
        <w:tc>
          <w:tcPr>
            <w:tcW w:type="dxa" w:w="2592"/>
            <w:tcMar>
              <w:top w:w="90" w:type="dxa"/>
              <w:start w:w="100" w:type="dxa"/>
              <w:bottom w:w="90" w:type="dxa"/>
              <w:end w:w="100" w:type="dxa"/>
            </w:tcMar>
            <w:vAlign w:val="center"/>
          </w:tcPr>
          <w:p>
            <w:r>
              <w:rPr>
                <w:sz w:val="16"/>
              </w:rPr>
              <w:t>Objects affected</w:t>
            </w:r>
          </w:p>
        </w:tc>
        <w:tc>
          <w:tcPr>
            <w:tcW w:type="dxa" w:w="7200"/>
            <w:tcMar>
              <w:top w:w="90" w:type="dxa"/>
              <w:start w:w="100" w:type="dxa"/>
              <w:bottom w:w="90" w:type="dxa"/>
              <w:end w:w="100" w:type="dxa"/>
            </w:tcMar>
            <w:vAlign w:val="center"/>
          </w:tcPr>
          <w:p>
            <w:r>
              <w:rPr>
                <w:sz w:val="16"/>
              </w:rPr>
              <w:t>Tables, constraints/indexes, policies, functions/RPCs, views, sequences as applicable.</w:t>
            </w:r>
          </w:p>
        </w:tc>
      </w:tr>
      <w:tr>
        <w:trPr>
          <w:cantSplit/>
        </w:trPr>
        <w:tc>
          <w:tcPr>
            <w:tcW w:type="dxa" w:w="2592"/>
            <w:tcMar>
              <w:top w:w="90" w:type="dxa"/>
              <w:start w:w="100" w:type="dxa"/>
              <w:bottom w:w="90" w:type="dxa"/>
              <w:end w:w="100" w:type="dxa"/>
            </w:tcMar>
            <w:vAlign w:val="center"/>
          </w:tcPr>
          <w:p>
            <w:r>
              <w:rPr>
                <w:sz w:val="16"/>
              </w:rPr>
              <w:t>Object ownership</w:t>
            </w:r>
          </w:p>
        </w:tc>
        <w:tc>
          <w:tcPr>
            <w:tcW w:type="dxa" w:w="7200"/>
            <w:tcMar>
              <w:top w:w="90" w:type="dxa"/>
              <w:start w:w="100" w:type="dxa"/>
              <w:bottom w:w="90" w:type="dxa"/>
              <w:end w:w="100" w:type="dxa"/>
            </w:tcMar>
            <w:vAlign w:val="center"/>
          </w:tcPr>
          <w:p>
            <w:r>
              <w:rPr>
                <w:sz w:val="16"/>
              </w:rPr>
              <w:t>Expected owner; normally postgres for new application objects.</w:t>
            </w:r>
          </w:p>
        </w:tc>
      </w:tr>
      <w:tr>
        <w:trPr>
          <w:cantSplit/>
        </w:trPr>
        <w:tc>
          <w:tcPr>
            <w:tcW w:type="dxa" w:w="2592"/>
            <w:tcMar>
              <w:top w:w="90" w:type="dxa"/>
              <w:start w:w="100" w:type="dxa"/>
              <w:bottom w:w="90" w:type="dxa"/>
              <w:end w:w="100" w:type="dxa"/>
            </w:tcMar>
            <w:vAlign w:val="center"/>
          </w:tcPr>
          <w:p>
            <w:r>
              <w:rPr>
                <w:sz w:val="16"/>
              </w:rPr>
              <w:t>Browser operation matrix</w:t>
            </w:r>
          </w:p>
        </w:tc>
        <w:tc>
          <w:tcPr>
            <w:tcW w:type="dxa" w:w="7200"/>
            <w:tcMar>
              <w:top w:w="90" w:type="dxa"/>
              <w:start w:w="100" w:type="dxa"/>
              <w:bottom w:w="90" w:type="dxa"/>
              <w:end w:w="100" w:type="dxa"/>
            </w:tcMar>
            <w:vAlign w:val="center"/>
          </w:tcPr>
          <w:p>
            <w:r>
              <w:rPr>
                <w:sz w:val="16"/>
              </w:rPr>
              <w:t>Exact SELECT/INSERT/UPDATE/DELETE or EXECUTE privileges genuinely required.</w:t>
            </w:r>
          </w:p>
        </w:tc>
      </w:tr>
      <w:tr>
        <w:trPr>
          <w:cantSplit/>
        </w:trPr>
        <w:tc>
          <w:tcPr>
            <w:tcW w:type="dxa" w:w="2592"/>
            <w:tcMar>
              <w:top w:w="90" w:type="dxa"/>
              <w:start w:w="100" w:type="dxa"/>
              <w:bottom w:w="90" w:type="dxa"/>
              <w:end w:w="100" w:type="dxa"/>
            </w:tcMar>
            <w:vAlign w:val="center"/>
          </w:tcPr>
          <w:p>
            <w:r>
              <w:rPr>
                <w:sz w:val="16"/>
              </w:rPr>
              <w:t>RLS/policies</w:t>
            </w:r>
          </w:p>
        </w:tc>
        <w:tc>
          <w:tcPr>
            <w:tcW w:type="dxa" w:w="7200"/>
            <w:tcMar>
              <w:top w:w="90" w:type="dxa"/>
              <w:start w:w="100" w:type="dxa"/>
              <w:bottom w:w="90" w:type="dxa"/>
              <w:end w:w="100" w:type="dxa"/>
            </w:tcMar>
            <w:vAlign w:val="center"/>
          </w:tcPr>
          <w:p>
            <w:r>
              <w:rPr>
                <w:sz w:val="16"/>
              </w:rPr>
              <w:t>Explicit enablement and exact-owner operation-specific policy design.</w:t>
            </w:r>
          </w:p>
        </w:tc>
      </w:tr>
      <w:tr>
        <w:trPr>
          <w:cantSplit/>
        </w:trPr>
        <w:tc>
          <w:tcPr>
            <w:tcW w:type="dxa" w:w="2592"/>
            <w:tcMar>
              <w:top w:w="90" w:type="dxa"/>
              <w:start w:w="100" w:type="dxa"/>
              <w:bottom w:w="90" w:type="dxa"/>
              <w:end w:w="100" w:type="dxa"/>
            </w:tcMar>
            <w:vAlign w:val="center"/>
          </w:tcPr>
          <w:p>
            <w:r>
              <w:rPr>
                <w:sz w:val="16"/>
              </w:rPr>
              <w:t>Preflight</w:t>
            </w:r>
          </w:p>
        </w:tc>
        <w:tc>
          <w:tcPr>
            <w:tcW w:type="dxa" w:w="7200"/>
            <w:tcMar>
              <w:top w:w="90" w:type="dxa"/>
              <w:start w:w="100" w:type="dxa"/>
              <w:bottom w:w="90" w:type="dxa"/>
              <w:end w:w="100" w:type="dxa"/>
            </w:tcMar>
            <w:vAlign w:val="center"/>
          </w:tcPr>
          <w:p>
            <w:r>
              <w:rPr>
                <w:sz w:val="16"/>
              </w:rPr>
              <w:t>Read-only checks and assumptions; exact project confirmation.</w:t>
            </w:r>
          </w:p>
        </w:tc>
      </w:tr>
      <w:tr>
        <w:trPr>
          <w:cantSplit/>
        </w:trPr>
        <w:tc>
          <w:tcPr>
            <w:tcW w:type="dxa" w:w="2592"/>
            <w:tcMar>
              <w:top w:w="90" w:type="dxa"/>
              <w:start w:w="100" w:type="dxa"/>
              <w:bottom w:w="90" w:type="dxa"/>
              <w:end w:w="100" w:type="dxa"/>
            </w:tcMar>
            <w:vAlign w:val="center"/>
          </w:tcPr>
          <w:p>
            <w:r>
              <w:rPr>
                <w:sz w:val="16"/>
              </w:rPr>
              <w:t>Rollback/reversal</w:t>
            </w:r>
          </w:p>
        </w:tc>
        <w:tc>
          <w:tcPr>
            <w:tcW w:type="dxa" w:w="7200"/>
            <w:tcMar>
              <w:top w:w="90" w:type="dxa"/>
              <w:start w:w="100" w:type="dxa"/>
              <w:bottom w:w="90" w:type="dxa"/>
              <w:end w:w="100" w:type="dxa"/>
            </w:tcMar>
            <w:vAlign w:val="center"/>
          </w:tcPr>
          <w:p>
            <w:r>
              <w:rPr>
                <w:sz w:val="16"/>
              </w:rPr>
              <w:t>Prepared strategy and limits; execution not preauthorized.</w:t>
            </w:r>
          </w:p>
        </w:tc>
      </w:tr>
      <w:tr>
        <w:trPr>
          <w:cantSplit/>
        </w:trPr>
        <w:tc>
          <w:tcPr>
            <w:tcW w:type="dxa" w:w="2592"/>
            <w:tcMar>
              <w:top w:w="90" w:type="dxa"/>
              <w:start w:w="100" w:type="dxa"/>
              <w:bottom w:w="90" w:type="dxa"/>
              <w:end w:w="100" w:type="dxa"/>
            </w:tcMar>
            <w:vAlign w:val="center"/>
          </w:tcPr>
          <w:p>
            <w:r>
              <w:rPr>
                <w:sz w:val="16"/>
              </w:rPr>
              <w:t>Post-verification</w:t>
            </w:r>
          </w:p>
        </w:tc>
        <w:tc>
          <w:tcPr>
            <w:tcW w:type="dxa" w:w="7200"/>
            <w:tcMar>
              <w:top w:w="90" w:type="dxa"/>
              <w:start w:w="100" w:type="dxa"/>
              <w:bottom w:w="90" w:type="dxa"/>
              <w:end w:w="100" w:type="dxa"/>
            </w:tcMar>
            <w:vAlign w:val="center"/>
          </w:tcPr>
          <w:p>
            <w:r>
              <w:rPr>
                <w:sz w:val="16"/>
              </w:rPr>
              <w:t>Catalog/security checks, owner smoke results, Security Advisor review.</w:t>
            </w:r>
          </w:p>
        </w:tc>
      </w:tr>
      <w:tr>
        <w:trPr>
          <w:cantSplit/>
        </w:trPr>
        <w:tc>
          <w:tcPr>
            <w:tcW w:type="dxa" w:w="2592"/>
            <w:tcMar>
              <w:top w:w="90" w:type="dxa"/>
              <w:start w:w="100" w:type="dxa"/>
              <w:bottom w:w="90" w:type="dxa"/>
              <w:end w:w="100" w:type="dxa"/>
            </w:tcMar>
            <w:vAlign w:val="center"/>
          </w:tcPr>
          <w:p>
            <w:r>
              <w:rPr>
                <w:sz w:val="16"/>
              </w:rPr>
              <w:t>Manual action</w:t>
            </w:r>
          </w:p>
        </w:tc>
        <w:tc>
          <w:tcPr>
            <w:tcW w:type="dxa" w:w="7200"/>
            <w:tcMar>
              <w:top w:w="90" w:type="dxa"/>
              <w:start w:w="100" w:type="dxa"/>
              <w:bottom w:w="90" w:type="dxa"/>
              <w:end w:w="100" w:type="dxa"/>
            </w:tcMar>
            <w:vAlign w:val="center"/>
          </w:tcPr>
          <w:p>
            <w:r>
              <w:rPr>
                <w:sz w:val="16"/>
              </w:rPr>
              <w:t>Only unavoidable user action; state MANUAL: None when none is required.</w:t>
            </w:r>
          </w:p>
        </w:tc>
      </w:tr>
    </w:tbl>
    <w:p/>
    <w:p>
      <w:pPr>
        <w:pStyle w:val="Heading1"/>
      </w:pPr>
      <w:r>
        <w:t>14. Standard VS Code Copilot implementation prompt framework</w:t>
      </w:r>
    </w:p>
    <w:p>
      <w:r>
        <w:t>Use this framework for implementation tasks. Each actual phase prompt should replace bracketed values with the exact phase, requirement/test IDs, and intended scope.</w:t>
      </w:r>
    </w:p>
    <w:p>
      <w:r>
        <w:rPr>
          <w:b/>
        </w:rPr>
        <w:t xml:space="preserve">Context: </w:t>
      </w:r>
      <w:r>
        <w:t>Read the controlled Meals requirements, acceptance workbook, update protocol, and this Implementation Plan from the repository before modifying code.</w:t>
      </w:r>
    </w:p>
    <w:p>
      <w:r>
        <w:rPr>
          <w:b/>
        </w:rPr>
        <w:t xml:space="preserve">Scope: </w:t>
      </w:r>
      <w:r>
        <w:t>Implement only [PHASE/SLICE] and the listed Requirement IDs. Do not introduce functionality listed as out of scope or assigned to later phases.</w:t>
      </w:r>
    </w:p>
    <w:p>
      <w:r>
        <w:rPr>
          <w:b/>
        </w:rPr>
        <w:t xml:space="preserve">Repository inspection: </w:t>
      </w:r>
      <w:r>
        <w:t>Before edits, inspect current relevant files and state any implementation assumptions that differ materially from the plan. Do not reopen settled product decisions.</w:t>
      </w:r>
    </w:p>
    <w:p>
      <w:r>
        <w:rPr>
          <w:b/>
        </w:rPr>
        <w:t xml:space="preserve">Database: </w:t>
      </w:r>
      <w:r>
        <w:t>If a schema change is required, follow the full security migration workflow: source-controlled migration, least privilege, exact-owner RLS, preflight, explicit production authorization, one execution, post-verification, no automatic retry/rollback.</w:t>
      </w:r>
    </w:p>
    <w:p>
      <w:r>
        <w:rPr>
          <w:b/>
        </w:rPr>
        <w:t xml:space="preserve">Workbook: </w:t>
      </w:r>
      <w:r>
        <w:t>Follow Acceptance Workbook Update Protocol.md. Update technical rows/evidence directly; owner UAT rows become Ready to Test; do not assign owner-only decisions.</w:t>
      </w:r>
    </w:p>
    <w:p>
      <w:r>
        <w:rPr>
          <w:b/>
        </w:rPr>
        <w:t xml:space="preserve">Testing: </w:t>
      </w:r>
      <w:r>
        <w:t>Run applicable automated tests, build/lint, security/database verification, end-to-end preparation, and defined regression scope.</w:t>
      </w:r>
    </w:p>
    <w:p>
      <w:r>
        <w:rPr>
          <w:b/>
        </w:rPr>
        <w:t xml:space="preserve">Stop conditions: </w:t>
      </w:r>
      <w:r>
        <w:t>Stop on ambiguous/contradictory requirement, target-project mismatch, production drift, unexpected ownership/privileges, failed migration, security blocker, or need for unapproved SECURITY DEFINER/broker dependency.</w:t>
      </w:r>
    </w:p>
    <w:p>
      <w:r>
        <w:rPr>
          <w:b/>
        </w:rPr>
        <w:t xml:space="preserve">Final report: </w:t>
      </w:r>
      <w:r>
        <w:t>Report Requirement IDs, files changed, tests/build results, database actions, workbook rows, evidence, defects, regression, and remaining owner actions.</w:t>
      </w:r>
    </w:p>
    <w:p>
      <w:pPr>
        <w:pStyle w:val="Heading1"/>
      </w:pPr>
      <w:r>
        <w:t>15. Mandatory stop / escalation conditions</w:t>
      </w:r>
    </w:p>
    <w:p>
      <w:pPr>
        <w:pStyle w:val="ListBullet"/>
      </w:pPr>
      <w:r>
        <w:t>A requirement conflict or genuinely missing product decision prevents correct implementation.</w:t>
      </w:r>
    </w:p>
    <w:p>
      <w:pPr>
        <w:pStyle w:val="ListBullet"/>
      </w:pPr>
      <w:r>
        <w:t>Production project identity is not exactly home-maintenance-app / tawvchmjtkgykwwvnnnn.</w:t>
      </w:r>
    </w:p>
    <w:p>
      <w:pPr>
        <w:pStyle w:val="ListBullet"/>
      </w:pPr>
      <w:r>
        <w:t>Production catalog drift materially contradicts migration assumptions.</w:t>
      </w:r>
    </w:p>
    <w:p>
      <w:pPr>
        <w:pStyle w:val="ListBullet"/>
      </w:pPr>
      <w:r>
        <w:t>A new Meals object has unexpected supabase_admin ownership or unexplained PUBLIC/anon/authenticated privileges.</w:t>
      </w:r>
    </w:p>
    <w:p>
      <w:pPr>
        <w:pStyle w:val="ListBullet"/>
      </w:pPr>
      <w:r>
        <w:t>A proposal requires SECURITY DEFINER, service_role in browser code, abandoned broker dependencies, or weakening exact-owner authorization.</w:t>
      </w:r>
    </w:p>
    <w:p>
      <w:pPr>
        <w:pStyle w:val="ListBullet"/>
      </w:pPr>
      <w:r>
        <w:t>A production migration fails. Do not retry or auto-rollback.</w:t>
      </w:r>
    </w:p>
    <w:p>
      <w:pPr>
        <w:pStyle w:val="ListBullet"/>
      </w:pPr>
      <w:r>
        <w:t>The Acceptance Workbook cannot be safely updated without damaging existing controlled results/formulas.</w:t>
      </w:r>
    </w:p>
    <w:p>
      <w:pPr>
        <w:pStyle w:val="ListBullet"/>
      </w:pPr>
      <w:r>
        <w:t>Testing reveals security/data-integrity failure that would otherwise be treated as a cosmetic known issue.</w:t>
      </w:r>
    </w:p>
    <w:p>
      <w:pPr>
        <w:pStyle w:val="Heading1"/>
      </w:pPr>
      <w:r>
        <w:t>16. First actionable prompt after repository documents are staged</w:t>
      </w:r>
    </w:p>
    <w:p>
      <w:r>
        <w:t>The next action after placing the controlled artifacts in the repository should be the Phase 0 read-only preflight, not implementation. Use the following concise assignment in VS Code Copilot:</w:t>
      </w:r>
    </w:p>
    <w:p>
      <w:pPr>
        <w:ind w:left="360" w:right="360"/>
      </w:pPr>
      <w:r>
        <w:rPr>
          <w:rFonts w:ascii="Aptos" w:hAnsi="Aptos"/>
          <w:color w:val="373737"/>
          <w:sz w:val="18"/>
        </w:rPr>
        <w:t>Perform the Meals Phase 0 read-only implementation preflight described in Section 4 of the Meals Implementation Plan. Read the Requirements v0.3, Acceptance Checklist v1.0, Acceptance Workbook Update Protocol, and Implementation Plan first. Inspect the current repository, auth/RLS integration, routing, migration/deployment conventions, tests, relevant Planner integration points, and documentation conventions. Make no source-code changes, no migration changes, no production changes, and no acceptance-status changes. Return the proposed Phase 0A file-change plan, applicable Requirement/Test IDs, technical risks, stop conditions, expected manual actions, and exact production-authorization point.</w:t>
      </w:r>
    </w:p>
    <w:p>
      <w:pPr>
        <w:pStyle w:val="Heading1"/>
      </w:pPr>
      <w:r>
        <w:t>17. Implementation-plan definition of done</w:t>
      </w:r>
    </w:p>
    <w:p>
      <w:pPr>
        <w:pStyle w:val="ListBullet"/>
      </w:pPr>
      <w:r>
        <w:t>The controlled artifacts are stored in the repository and referenced by each Meals task.</w:t>
      </w:r>
    </w:p>
    <w:p>
      <w:pPr>
        <w:pStyle w:val="ListBullet"/>
      </w:pPr>
      <w:r>
        <w:t>Each phase is implemented only after its read-only preflight/technical design gates.</w:t>
      </w:r>
    </w:p>
    <w:p>
      <w:pPr>
        <w:pStyle w:val="ListBullet"/>
      </w:pPr>
      <w:r>
        <w:t>Copilot performs the coding and repeatable technical work it can; manual user work is minimized and explicitly identified.</w:t>
      </w:r>
    </w:p>
    <w:p>
      <w:pPr>
        <w:pStyle w:val="ListBullet"/>
      </w:pPr>
      <w:r>
        <w:t>Database changes are incremental, source-controlled, explicitly secured, authorized, and verified.</w:t>
      </w:r>
    </w:p>
    <w:p>
      <w:pPr>
        <w:pStyle w:val="ListBullet"/>
      </w:pPr>
      <w:r>
        <w:t>Acceptance Workbook technical evidence stays current with repository changes.</w:t>
      </w:r>
    </w:p>
    <w:p>
      <w:pPr>
        <w:pStyle w:val="ListBullet"/>
      </w:pPr>
      <w:r>
        <w:t>Owner-UAT and final Phase Sign-Off remain owner-controlled.</w:t>
      </w:r>
    </w:p>
    <w:p>
      <w:pPr>
        <w:pStyle w:val="ListBullet"/>
      </w:pPr>
      <w:r>
        <w:t>Later phases do not begin until the prior phase is accepted or the owner explicitly authorizes an exception.</w:t>
      </w:r>
    </w:p>
    <w:p>
      <w:pPr>
        <w:pStyle w:val="ListBullet"/>
      </w:pPr>
      <w:r>
        <w:t>Recipe Import remains outside committed Phase 1–3 scope until the post-Phase-1 investigation is approved.</w:t>
      </w:r>
    </w:p>
    <w:p>
      <w:pPr>
        <w:pStyle w:val="PlanNote"/>
      </w:pPr>
      <w:r>
        <w:t>This plan is an execution companion to the Requirements v0.3 baseline. Requirements control product behavior; this document controls sequencing and implementation process. If they conflict, stop and resolve the discrepancy rather than silently changing either artifact.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Meals Implementation Plan  •  v1.0  •  Page </w:t>
    </w:r>
    <w:r>
      <w:rPr>
        <w:color w:val="6E6E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HOME MAINTENANCE APP  |  MEALS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Note">
    <w:name w:val="Plan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Meals Implementation Plan</dc:title>
  <dc:subject>Phased implementation and deployment plan for HomeMaintenanceApp Meals module</dc:subject>
  <dc:creator>M365 Copilot</dc:creator>
  <keywords/>
  <dc:description>v1.0 controlled execution baseline.</dc:description>
  <lastModifiedBy>M365 Copilot</lastModifiedBy>
  <revision>1</revision>
  <dcterms:created xsi:type="dcterms:W3CDTF">2026-10-28T22:52:38.4749269Z</dcterms:created>
  <dcterms:modified xsi:type="dcterms:W3CDTF">2026-10-28T22:52:38.4749269Z</dcterms:modified>
  <category/>
</coreProperties>
</file>