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46"/>
          <w:szCs w:val="46"/>
        </w:rPr>
      </w:pPr>
      <w:bookmarkStart w:colFirst="0" w:colLast="0" w:name="_1j1rk365w0o9" w:id="0"/>
      <w:bookmarkEnd w:id="0"/>
      <w:r w:rsidDel="00000000" w:rsidR="00000000" w:rsidRPr="00000000">
        <w:rPr>
          <w:color w:val="1f1f1f"/>
          <w:sz w:val="46"/>
          <w:szCs w:val="46"/>
          <w:rtl w:val="0"/>
        </w:rPr>
        <w:t xml:space="preserve">🏛️ THE ADA LEGAL SHIELD: MASTER DOCUMENT ROADMAP (v2.0 - FINAL)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Status: 100% Comprehensive | Version: Production-Ready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Objective: The single source of truth for the 48-hour Blitz and the $100k/mo scaling phase.</w:t>
      </w:r>
    </w:p>
    <w:p w:rsidR="00000000" w:rsidDel="00000000" w:rsidP="00000000" w:rsidRDefault="00000000" w:rsidRPr="00000000" w14:paraId="0000000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q72p91pbkip5" w:id="1"/>
      <w:bookmarkEnd w:id="1"/>
      <w:r w:rsidDel="00000000" w:rsidR="00000000" w:rsidRPr="00000000">
        <w:rPr>
          <w:color w:val="1f1f1f"/>
          <w:sz w:val="34"/>
          <w:szCs w:val="34"/>
          <w:rtl w:val="0"/>
        </w:rPr>
        <w:t xml:space="preserve">🌑 PHASE 0: THE NORTH STAR (The Vision)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High-level strategic alignment for the Founders.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project_charter_executive_summary.md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The mission, the "Blitz" philosophy, and the $25k profit milestones.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project_unit_economics.md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Worst-case vs. Best-case financial models and tool-stack budget.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phase_2_scaling_roadmap.md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Moving from $25k/blitz to $100k/mo via Google Ads and Sales Teams.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project_status_report.md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(NEW)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Final pre-launch readiness summary and "Green Light" certification.</w:t>
      </w:r>
    </w:p>
    <w:p w:rsidR="00000000" w:rsidDel="00000000" w:rsidP="00000000" w:rsidRDefault="00000000" w:rsidRPr="00000000" w14:paraId="0000000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s9uslvjhta7w" w:id="2"/>
      <w:bookmarkEnd w:id="2"/>
      <w:r w:rsidDel="00000000" w:rsidR="00000000" w:rsidRPr="00000000">
        <w:rPr>
          <w:color w:val="1f1f1f"/>
          <w:sz w:val="34"/>
          <w:szCs w:val="34"/>
          <w:rtl w:val="0"/>
        </w:rPr>
        <w:t xml:space="preserve">🟢 PHASE 1: STRATEGY &amp; LOGIC (The Brain)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Defining the rules, behavioral economics, and technical paths.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customer_journey_and_funnel_logic.md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(UPDATED)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Path A (Nurture), Path B (Buyer), and Path C (Upsell) logic for Attio/Resend.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pricing_strategy_and_offer_matrix.md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The "Per-Page" math, IRS Credit anchoring, and "Template vs. URL" billing.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brand_voice_and_positioning_guide.md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Forensic Tone Guide. The "Protector" persona and legal lexicon.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risk_mitigation_and_crisis_sop.md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Protocols for Stripe pauses, GSA blocking, or refund demands.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seo_strategy.md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High-intent keywords for long-term organic authority.</w:t>
      </w:r>
    </w:p>
    <w:p w:rsidR="00000000" w:rsidDel="00000000" w:rsidP="00000000" w:rsidRDefault="00000000" w:rsidRPr="00000000" w14:paraId="0000001A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nty5lz2vpmyn" w:id="3"/>
      <w:bookmarkEnd w:id="3"/>
      <w:r w:rsidDel="00000000" w:rsidR="00000000" w:rsidRPr="00000000">
        <w:rPr>
          <w:color w:val="1f1f1f"/>
          <w:sz w:val="34"/>
          <w:szCs w:val="34"/>
          <w:rtl w:val="0"/>
        </w:rPr>
        <w:t xml:space="preserve">🟡 PHASE 2: CONTENT &amp; ASSETS (The Mouth)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Machine-readable copy and high-conversion lead magnets.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master_content_manifest.md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(UPDATED)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Every string for the UI. Formatted for AI ingestion (Antigravity).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lead_magnet_bundle_content.md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Text for the "Safe Harbor" Kit (Checklists, IRS Guides).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master_outreach_and_nurture_scripts.md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GSA Spintax and the 5-Day Resend Nurture Sequence.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creative_direction_and_visual_assets.md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Design tokens, colors, and the "Screen Reader Simulator" logic.</w:t>
      </w:r>
    </w:p>
    <w:p w:rsidR="00000000" w:rsidDel="00000000" w:rsidP="00000000" w:rsidRDefault="00000000" w:rsidRPr="00000000" w14:paraId="0000002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x7djfy9r3g48" w:id="4"/>
      <w:bookmarkEnd w:id="4"/>
      <w:r w:rsidDel="00000000" w:rsidR="00000000" w:rsidRPr="00000000">
        <w:rPr>
          <w:color w:val="1f1f1f"/>
          <w:sz w:val="34"/>
          <w:szCs w:val="34"/>
          <w:rtl w:val="0"/>
        </w:rPr>
        <w:t xml:space="preserve">🔵 PHASE 3: TECHNICAL ARCHITECTURE (The Engine)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instructions for Google Antigravity and the VPS Sniffer.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kickoff_prompt.md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(FINAL)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The master prompt to scaffold the entire Next.js project in one click.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project_context_crystal.json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The Knowledge Graph for AI-driven development.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technical_roadmap_v2.md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(NEW)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The high-level technical map and module-based execution sequence.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antigravity_system_protocol.md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The AI Persona rules and coding standards.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vibe_coding_style_guide.md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(NEW)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Visual-to-code translation rules and forensic design tokens.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nextjs_app_router_structure.md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The physical file tree and component collocation rules.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database_schema_and_types.ts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TypeScript definitions for strict data safety.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gsap_forensic_animation_library.md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Motion code for the "Labor Illusion" and Risk Gauges.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dynamic_audit_component_logic.md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State management, hydration-safe Zustand, and deterministic math.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sniffer_engine_architecture_v2.md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Node.js/Playwright architecture for high-volume HTML auditing.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sniffer_script_technical_docs.md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(NEW)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Deep-dive logic for violation detection and stealth protocols.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ada_sniffer.js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The raw crawler code.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api_gateway_and_webhook_security.md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Rate limiting, edge security, and n8n proxy logic.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database_and_crm_schema.md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Field-mapping for Baserow and Attio (Warm CRM).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n8n_automation_logic_blueprints.md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Detailed flowcharts for lead ingest and fulfillment.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tool_configuration_and_wiring_guide.md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Settings for GSA, CapMonster, WebShare, and Resend.</w:t>
      </w:r>
    </w:p>
    <w:p w:rsidR="00000000" w:rsidDel="00000000" w:rsidP="00000000" w:rsidRDefault="00000000" w:rsidRPr="00000000" w14:paraId="00000046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8u6qtrgneiqx" w:id="5"/>
      <w:bookmarkEnd w:id="5"/>
      <w:r w:rsidDel="00000000" w:rsidR="00000000" w:rsidRPr="00000000">
        <w:rPr>
          <w:color w:val="1f1f1f"/>
          <w:sz w:val="34"/>
          <w:szCs w:val="34"/>
          <w:rtl w:val="0"/>
        </w:rPr>
        <w:t xml:space="preserve">🔴 PHASE 4: PROTECTION &amp; SECURITY (The Shield)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Compliance, Testing, and Data Governance.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automated_a11y_testing_suite.md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Playwright/Axe-Core tests to ensure our own site is perfect.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gdpr_ccpa_privacy_layer.md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US-Fortress geo-fencing and California CPRA compliance.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legal_framework_and_tos.md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Terms of Defense, Disclaimers, and Service Level Agreements.</w:t>
      </w:r>
    </w:p>
    <w:p w:rsidR="00000000" w:rsidDel="00000000" w:rsidP="00000000" w:rsidRDefault="00000000" w:rsidRPr="00000000" w14:paraId="0000004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npdiwxcayqzh" w:id="6"/>
      <w:bookmarkEnd w:id="6"/>
      <w:r w:rsidDel="00000000" w:rsidR="00000000" w:rsidRPr="00000000">
        <w:rPr>
          <w:color w:val="1f1f1f"/>
          <w:sz w:val="34"/>
          <w:szCs w:val="34"/>
          <w:rtl w:val="0"/>
        </w:rPr>
        <w:t xml:space="preserve">🟣 PHASE 5: OPERATIONS &amp; SALES (The Manual)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Running the blitz and closing the high-ticket deals.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pre_flight_go_no_go_checklist.md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(NEW)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The final 90-minute technical and financial safety protocol.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manual_remediation_sales_script.md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(NEW)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The high-authority script for Julian to close $2,500+ upsells.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founder_daily_operations_checklist.md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The hour-by-hour task list for the 48-hour window.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partner_referral_playbook.md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Managing Law Firms and Web Agency payouts.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remediation_scope_of_work_template.md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The 1-page agreement for Manual Structural Remediation.</w:t>
      </w:r>
    </w:p>
    <w:p w:rsidR="00000000" w:rsidDel="00000000" w:rsidP="00000000" w:rsidRDefault="00000000" w:rsidRPr="00000000" w14:paraId="0000005A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i29l7b3c0fmj" w:id="7"/>
      <w:bookmarkEnd w:id="7"/>
      <w:r w:rsidDel="00000000" w:rsidR="00000000" w:rsidRPr="00000000">
        <w:rPr>
          <w:color w:val="1f1f1f"/>
          <w:sz w:val="34"/>
          <w:szCs w:val="34"/>
          <w:rtl w:val="0"/>
        </w:rPr>
        <w:t xml:space="preserve">🏁 PROJECT COMPLETION CERTIFICATE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All artifacts listed above are synchronized, cross-referenced, and ready for deployment.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0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0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