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56"/>
          <w:szCs w:val="56"/>
        </w:rPr>
        <w:t xml:space="preserve">MARCO ZERO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28"/>
          <w:szCs w:val="28"/>
        </w:rPr>
        <w:t xml:space="preserve">Inteligência Financeira</w:t>
      </w:r>
    </w:p>
    <w:p>
      <w:pPr>
        <w:pBdr>
          <w:bottom w:val="single" w:color="0D2F3A" w:sz="8" w:space="4"/>
        </w:pBdr>
        <w:spacing w:after="200" w:before="200"/>
        <w:jc w:val="center"/>
      </w:pPr>
      <w:r>
        <w:rPr>
          <w:rFonts w:ascii="Montserrat" w:cs="Montserrat" w:eastAsia="Montserrat" w:hAnsi="Montserrat"/>
        </w:rPr>
        <w:t xml:space="preserve"> </w:t>
      </w:r>
    </w:p>
    <w:p>
      <w:pPr>
        <w:spacing w:after="200" w:before="14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4"/>
          <w:szCs w:val="44"/>
        </w:rPr>
        <w:t xml:space="preserve">PRÉVIA DE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4"/>
          <w:szCs w:val="44"/>
        </w:rPr>
        <w:t xml:space="preserve">ANDAMENTO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i/>
          <w:iCs/>
          <w:color w:val="1E5A6E"/>
          <w:sz w:val="22"/>
          <w:szCs w:val="22"/>
        </w:rPr>
        <w:t xml:space="preserve">versão 4 — decomposição completa por estabelecimento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24"/>
          <w:szCs w:val="24"/>
        </w:rPr>
        <w:t xml:space="preserve">Fase Marco Zero · Mês 1 · Semana 2</w:t>
      </w:r>
    </w:p>
    <w:p>
      <w:pPr>
        <w:spacing w:after="80" w:before="8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CLIENTE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Óticas Mais Ltda  ·  CNPJ 07.843.328/0001-19</w:t>
      </w:r>
    </w:p>
    <w:p>
      <w:pPr>
        <w:spacing w:after="80" w:before="4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DATA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05 de junho de 2026  ·  Preparação para a reunião de 16/06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Para o Dr. Haldley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Doutor, este documento substitui a versão da semana passada (entregue em 02/06). Avançamos significativamente nos primeiros oito dias úteis do nosso trabalho: a base de dados está estruturada, os primeiros cruzamentos foram feitos, e algumas observações materiais já tomam forma. Esta versão consolida tudo, com a disciplina que combinamos: o que é fato, fica registrado como fato; o que é hipótese, fica registrado como hipótese.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O propósito segue o mesmo: dar visibilidade do andamento, alinhar achados materiais e preparar a nossa reunião do dia 16 de junho.</w:t>
      </w:r>
    </w:p>
    <w:p>
      <w:pPr>
        <w:spacing w:after="80" w:before="20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Antes de entrar no conteúdo, faço o mesmo registro administrativo que já constava na versão anterior: ao iniciarmos os trabalhos, identificamos junto à Jeane uma terceira inscrição do grupo — a </w:t>
      </w: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Óticas BH Ltda (CNPJ 18.960.845/0001-94)</w:t>
      </w:r>
      <w:r>
        <w:rPr>
          <w:rFonts w:ascii="Montserrat" w:cs="Montserrat" w:eastAsia="Montserrat" w:hAnsi="Montserrat"/>
          <w:sz w:val="22"/>
          <w:szCs w:val="22"/>
        </w:rPr>
        <w:t xml:space="preserve"> — que não havia entrado nos materiais que orientaram a nossa proposta inicial. Vamos seguir atendendo as três inscrições normalmente, sem qualquer ajuste de valores, prazos ou cláusulas do nosso contrato — ele segue exatamente como combinado.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Onde estamos — base de dados consolidada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Nos últimos oito dias, recebemos uma base de evidência sólida da Jeane Alvarenga e organizamos tudo internamente. O quadro abaixo resume o universo de dados sobre o qual a Marco Zero estrutura a Contabilidade Financeira do grupo: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Fonte de dados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NF-e de Saída (modelo 65 — NFC-e)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Janeiro a Maio/2026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715 notas autorizadas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Vendas Detalhado Get Net (planilhas)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Janeiro/2025 a Junho/2026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2.477 transações aprovadas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Agenda Financeira Get Net (saldo a receber)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Snapshot em 01/06/2026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1.408 URs registradas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Extratos bancários CEF (Matriz + Filial)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Janeiro a Junho/2026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12 PDFs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Extratos bancários Santander (Mat/Fil + BH)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Janeiro a Junho/2026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15 PDFs (2 pendentes)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NF-e de Entrada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Janeiro a Maio/2026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 PDFs consolidados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Balancete, Balanço e DRE — exercício 2025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Mais e 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 PDFs oficiais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Declarações de Faturamento 2024 e 2025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Mais e 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 documentos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Folha de Pagamento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Óticas Mais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 PDF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Cartões CNPJ atualizados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Os 3 estabelecimentos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 documentos</w:t>
            </w:r>
          </w:p>
        </w:tc>
      </w:tr>
    </w:tbl>
    <w:p>
      <w:pPr>
        <w:spacing w:after="80" w:before="10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Este é o material a partir do qual a Marco Zero estrutura o fluxo de caixa, os indicadores gerenciais e o diagnóstico estratégico do grupo.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Metodologia da nossa análise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Estrutura das tabelas — 5 colunas por nível analítico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Toda tabela analítica deste relatório segue a mesma ordem de colunas — combinando granularidade individual e visão consolidada: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Matriz Luminis</w:t>
      </w:r>
      <w:r>
        <w:rPr>
          <w:rFonts w:ascii="Montserrat" w:cs="Montserrat" w:eastAsia="Montserrat" w:hAnsi="Montserrat"/>
          <w:sz w:val="22"/>
          <w:szCs w:val="22"/>
        </w:rPr>
        <w:t xml:space="preserve"> — estabelecimento real (Venda Nova), onde efetivamente acontece a maior parte das vendas físicas.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Filial Proview</w:t>
      </w:r>
      <w:r>
        <w:rPr>
          <w:rFonts w:ascii="Montserrat" w:cs="Montserrat" w:eastAsia="Montserrat" w:hAnsi="Montserrat"/>
          <w:sz w:val="22"/>
          <w:szCs w:val="22"/>
        </w:rPr>
        <w:t xml:space="preserve"> — estabelecimento da Filial (Otoni 742, Loja 104).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Mais Consolidada (Matriz + Filial)</w:t>
      </w:r>
      <w:r>
        <w:rPr>
          <w:rFonts w:ascii="Montserrat" w:cs="Montserrat" w:eastAsia="Montserrat" w:hAnsi="Montserrat"/>
          <w:sz w:val="22"/>
          <w:szCs w:val="22"/>
        </w:rPr>
        <w:t xml:space="preserve"> — soma dos dois anteriores. É a leitura jurídica e contábil natural, pois Matriz e Filial compartilham a mesma raiz de CNPJ 07.843.328 e constituem uma única Pessoa Jurídica com dois estabelecimentos.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Óticas BH</w:t>
      </w:r>
      <w:r>
        <w:rPr>
          <w:rFonts w:ascii="Montserrat" w:cs="Montserrat" w:eastAsia="Montserrat" w:hAnsi="Montserrat"/>
          <w:sz w:val="22"/>
          <w:szCs w:val="22"/>
        </w:rPr>
        <w:t xml:space="preserve"> — Pessoa Jurídica separada, com CNPJ próprio.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Grupo</w:t>
      </w:r>
      <w:r>
        <w:rPr>
          <w:rFonts w:ascii="Montserrat" w:cs="Montserrat" w:eastAsia="Montserrat" w:hAnsi="Montserrat"/>
          <w:sz w:val="22"/>
          <w:szCs w:val="22"/>
        </w:rPr>
        <w:t xml:space="preserve"> — soma da Mais Consolidada com a BH. Visão patrimonial total do controlador.</w:t>
      </w:r>
    </w:p>
    <w:p>
      <w:pPr>
        <w:spacing w:after="80" w:before="10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Essa estrutura permite ler cada nível separadamente e ver simultaneamente o agregado. Quando uma linha não tem decomposição confiável por estabelecimento (caso de alguns itens do balancete consolidado), indicamos explicitamente.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Dois blocos temporais — exercício fechado e exercício em curso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Os resultados contábeis oficiais cobrem o exercício de 2025 (01/01 a 31/12/2025). Para o exercício corrente (2026, jan-mai já decorridos), a Marco Zero estrutura a Contabilidade Financeira a partir das fontes primárias — NF-e, extratos, agendas, vendas detalhadas, folha. Essa é a característica central do nosso serviço: acompanhamento em tempo real, mês a mês, sem dependência do ciclo contábil anual.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A partir desta Prévia, todos os relatórios da Marco Zero terão essa estrutura: Bloco A (exercícios fechados) + Bloco B (exercício em curso).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Disciplina FATO × HIPÓTESE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Tudo que apresentamos vem classificado: o que sai do balancete/DRE/extrato é FATO; o que vem de inferência ou observação parcial é HIPÓTESE a confirmar. Essa disciplina protege as decisões e mantém o trabalho calibrado.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Bloco A — Exercício de 2025 (resultado fechado)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Os balancetes, balanços e DREs do exercício 2025 foram entregues pela equipe interna do grupo em 05/06/2026 e estão na nossa base como insumo de análise. Os números a seguir são FATO — vêm dos documentos oficiais.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Receita por estabelecimento — exercício 2025</w:t>
      </w:r>
    </w:p>
    <w:p>
      <w:pPr>
        <w:spacing w:after="120" w:before="80" w:line="30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O balancete da Óticas Mais é consolidado (Matriz + Filial). Para a Receita Bruta, ele traz a decomposição por estabelecimento. Para CMV, Despesas e Lucro, o documento não traz separação confiável Matriz × Filial — apresentamos apenas o consolidado Mais e indicamos a limitação.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Item 2025 (R$)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Matriz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Filial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Mais Cons.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Receita Bruta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687.242,82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1.130.996,31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1.818.239,13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1.847.258,44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3.665.497,57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(–) Deduções (Simples)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(174.357,40)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(164.058,60)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(338.416,00)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Receita Líquida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1.643.881,73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1.683.199,84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3.327.081,57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(–) CMV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(509.165,70)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(896.432,31)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(1.405.598,01)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Lucro Bruto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1.134.716,03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786.767,53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1.921.483,56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Margem bruta s/ Receita Bruta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62,4%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42,6%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52,4%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(–) Despesas Operacionais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(627.249,17)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(35.844,73)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(663.093,90)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(+/–) Outras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(4.873,04)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(521,77)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(5.394,81)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Lucro Líquido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502.593,82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750.401,03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1.252.994,85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Margem líquida s/ Receita Bruta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27,6%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40,6%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34,2%</w:t>
            </w:r>
          </w:p>
        </w:tc>
      </w:tr>
    </w:tbl>
    <w:p>
      <w:pPr>
        <w:spacing w:after="80" w:before="100" w:line="30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Para alcançar o detalhe Matriz × Filial em CMV, Despesas e Lucro, será necessário aprofundamento contábil específico — solicitação a incluir no R04. Por enquanto, leitura desses itens fica no nível consolidado Mais.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1E5A6E"/>
          <w:sz w:val="22"/>
          <w:szCs w:val="22"/>
        </w:rPr>
        <w:t xml:space="preserve">Leitura desses resultados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Receita Bruta do grupo: R$ 3.665.497,57.</w:t>
      </w:r>
      <w:r>
        <w:rPr>
          <w:rFonts w:ascii="Montserrat" w:cs="Montserrat" w:eastAsia="Montserrat" w:hAnsi="Montserrat"/>
          <w:sz w:val="22"/>
          <w:szCs w:val="22"/>
        </w:rPr>
        <w:t xml:space="preserve"> Bem abaixo do limite por PJ do Simples Nacional (R$ 4,8M por inscrição) — não há pressão imediata de migração de regime.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Óticas BH com receita maior que Óticas Mais consolidada:</w:t>
      </w:r>
      <w:r>
        <w:rPr>
          <w:rFonts w:ascii="Montserrat" w:cs="Montserrat" w:eastAsia="Montserrat" w:hAnsi="Montserrat"/>
          <w:sz w:val="22"/>
          <w:szCs w:val="22"/>
        </w:rPr>
        <w:t xml:space="preserve"> R$ 1.847k contra R$ 1.818k (+1,6%). Surpreendente para o tamanho percebido das operações.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Margem líquida da BH (40,6%) bem superior à da Mais (27,6%).</w:t>
      </w:r>
      <w:r>
        <w:rPr>
          <w:rFonts w:ascii="Montserrat" w:cs="Montserrat" w:eastAsia="Montserrat" w:hAnsi="Montserrat"/>
          <w:sz w:val="22"/>
          <w:szCs w:val="22"/>
        </w:rPr>
        <w:t xml:space="preserve"> Diferença material que merece leitura cuidadosa.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Despesas Operacionais muito assimétricas:</w:t>
      </w:r>
      <w:r>
        <w:rPr>
          <w:rFonts w:ascii="Montserrat" w:cs="Montserrat" w:eastAsia="Montserrat" w:hAnsi="Montserrat"/>
          <w:sz w:val="22"/>
          <w:szCs w:val="22"/>
        </w:rPr>
        <w:t xml:space="preserve"> Mais R$ 627k (34,5% da receita) contra BH R$ 35,8k (1,9% da receita). A BH provavelmente compartilha estrutura e equipe com a Mais sem internalizar custos correspondentes em sua DRE. Sinalizamos como ponto para esclarecimento operacional na próxima rodada.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0D2F3A" w:sz="24"/>
              <w:bottom w:val="none" w:color="FFFFFF" w:sz="0"/>
              <w:right w:val="none" w:color="FFFFFF" w:sz="0"/>
            </w:tcBorders>
            <w:shd w:fill="F2F0E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Achado material #1 (FATO) — Adiantamentos a Fornecedores: R$ 5.602.552,24 no grupo</w:t>
            </w:r>
          </w:p>
          <w:p>
            <w:pPr>
              <w:spacing w:after="40" w:before="40" w:line="280"/>
              <w:jc w:val="both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O balanço patrimonial de 31/12/2025 traz, na conta "Adiantamentos a Fornecedores", R$ 3.527.739,54 na Óticas Mais e R$ 2.074.812,70 na Óticas BH — total de R$ 5,6 milhões.</w:t>
            </w:r>
          </w:p>
          <w:p>
            <w:pPr>
              <w:spacing w:after="40" w:before="40" w:line="280"/>
              <w:jc w:val="both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Esse número equivale a 153% da receita bruta anual do grupo e a 680% do estoque (R$ 825 mil). Em uma operação varejista regular, esse saldo costuma ser fração do estoque (≤30%), refletindo fluxo normal de compras antecipadas.</w:t>
            </w:r>
          </w:p>
          <w:p>
            <w:pPr>
              <w:spacing w:after="40" w:before="40" w:line="280"/>
              <w:jc w:val="both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O número observado é desproporcional ao perfil operacional. As leituras possíveis vão desde compras planejadas para 2026 já adiantadas (menos provável dado o volume) até registros que cumpririam essa função contábil mas representam outras movimentações.</w:t>
            </w:r>
          </w:p>
          <w:p>
            <w:pPr>
              <w:spacing w:after="40" w:before="40" w:line="280"/>
              <w:jc w:val="both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Não é nosso papel especular sobre a natureza específica. É nosso papel sinalizar que o saldo, do tamanho que tem, é um ponto que merece esclarecimento técnico. Como Marco Zero, vamos compor a análise de fluxo de caixa do grupo com transparência sobre esse valor.</w:t>
            </w:r>
          </w:p>
        </w:tc>
      </w:tr>
    </w:tbl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Bloco B — Exercício de 2026 em curso (jan-mai)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Para o exercício corrente, a Marco Zero estrutura a Contabilidade Financeira a partir das fontes primárias. Aplicamos uma triangulação rigorosa entre quatro vértices: vendas declaradas (NF-e), vendas processadas (Get Net Detalhado), saldo a receber (Agenda Financeira) e caixa efetivo (extratos bancários).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Vendas em cartão — janeiro a maio/2026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Métrica (R$)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Matriz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Filial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Mais Cons.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Vendas em cartão declaradas em NF-e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220.787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508.775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729.562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601.032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1.330.594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Vendas em cartão processadas pela Get Net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216.327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447.815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664.142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593.618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1.257.760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MDR efetivo (taxa Get Net) observado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2,62%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2,40%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2,47%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2,36%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2,42%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Valor líquido a receber (Get Net)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210.667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437.079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647.746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579.636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1.227.383</w:t>
            </w:r>
          </w:p>
        </w:tc>
      </w:tr>
    </w:tbl>
    <w:p>
      <w:pPr>
        <w:spacing w:after="80" w:before="100" w:line="30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Observação metodológica: o MDR efetivo é calculado diretamente do que a Get Net reporta como taxa cobrada em cada transação — não dependeu de termo contratual. Os 2,36% a 2,51% são coerentes com a Tabela 2 do Termo Get Net da BH, considerando o mix observado de bandeiras e modalidades.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Caixa efetivo identificado em janeiro a maio/2026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Métrica (R$)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Matriz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Filial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Mais Cons.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Líquido teórico (Get Net)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210.667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437.079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647.746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579.636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1.227.383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Caixa identificado nos extratos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96.706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68.101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164.807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444.512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609.320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Diferença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113.961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368.978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482.939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135.124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618.063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1E5A6E"/>
          <w:sz w:val="22"/>
          <w:szCs w:val="22"/>
        </w:rPr>
        <w:t xml:space="preserve">Leitura da diferença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A diferença entre líquido teórico e caixa identificado tem três componentes principais: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Defasagem natural de liquidação</w:t>
      </w:r>
      <w:r>
        <w:rPr>
          <w:rFonts w:ascii="Montserrat" w:cs="Montserrat" w:eastAsia="Montserrat" w:hAnsi="Montserrat"/>
          <w:sz w:val="22"/>
          <w:szCs w:val="22"/>
        </w:rPr>
        <w:t xml:space="preserve"> — vendas em cartão de crédito liquidam em D+30 (ou prazo maior se parceladas). Vendas de maio/26 só geram caixa em junho/26 (ou depois). Os extratos que temos cobrem até início de junho/26.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Deságio de cessão (antecipação)</w:t>
      </w:r>
      <w:r>
        <w:rPr>
          <w:rFonts w:ascii="Montserrat" w:cs="Montserrat" w:eastAsia="Montserrat" w:hAnsi="Montserrat"/>
          <w:sz w:val="22"/>
          <w:szCs w:val="22"/>
        </w:rPr>
        <w:t xml:space="preserve"> — quando a empresa antecipa, o Santander aplica taxa de deságio sobre o líquido. Esse percentual ainda não está confirmado pelo Termo de Cessão (já solicitado em R03).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Extratos pendentes</w:t>
      </w:r>
      <w:r>
        <w:rPr>
          <w:rFonts w:ascii="Montserrat" w:cs="Montserrat" w:eastAsia="Montserrat" w:hAnsi="Montserrat"/>
          <w:sz w:val="22"/>
          <w:szCs w:val="22"/>
        </w:rPr>
        <w:t xml:space="preserve"> — dois meses dos extratos Santander da Filial Proview (janeiro/26 e fevereiro/26) ainda não chegaram efetivamente; os arquivos enviados com nomes similares cobriam outros períodos. Isso afeta especialmente o nível 1 (Mais).</w:t>
      </w:r>
    </w:p>
    <w:p>
      <w:pPr>
        <w:spacing w:after="80" w:before="10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Para esclarecimento desses pontos, fizemos solicitação focada à equipe interna (R04 — em redação). Quando o Termo de Cessão e os extratos pendentes estiverem em mãos, fechamos o cálculo do custo financeiro real da antecipação.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Saldo a receber em cartão de crédito (snapshot 01/06/2026)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A Agenda Financeira da Get Net registra as vendas em cartão de crédito já processadas que ainda vão produzir entrada de caixa nos próximos meses. Recebemos os relatórios detalhados de saldo a receber das 3 inscrições — base sólida para estruturar a projeção de fluxo de caixa.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Composição do saldo a receber por estabelecimento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Item (R$)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Matriz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Filial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Mais Cons.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BH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Inclusão (total bruto)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198.635,45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359.012,69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557.648,14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479.552,19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1.037.200,33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(–) Dedução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(244,26)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(196,20)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(440,46)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(291,20)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(731,66)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Agenda Livre (a vencer)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122.098,39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267.494,53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389.592,92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299.733,69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689.326,61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Cessão (já antecipado)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76.292,80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91.321,96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167.614,76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179.527,30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347.142,06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% do saldo já cedido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38,5%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25,5%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30,1%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37,5%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33,5%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1E5A6E"/>
          <w:sz w:val="22"/>
          <w:szCs w:val="22"/>
        </w:rPr>
        <w:t xml:space="preserve">Leitura do saldo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Saldo total a receber em cartão de crédito (Grupo): </w:t>
      </w:r>
      <w:r>
        <w:rPr>
          <w:rFonts w:ascii="Montserrat" w:cs="Montserrat" w:eastAsia="Montserrat" w:hAnsi="Montserrat"/>
          <w:sz w:val="22"/>
          <w:szCs w:val="22"/>
        </w:rPr>
        <w:t xml:space="preserve">R$ 1.036.468,67. Vai compor o ativo realizável a curto prazo na nossa apresentação de fluxo de caixa projetado.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Aproximadamente um terço do saldo já foi cedido (33,5%)</w:t>
      </w:r>
      <w:r>
        <w:rPr>
          <w:rFonts w:ascii="Montserrat" w:cs="Montserrat" w:eastAsia="Montserrat" w:hAnsi="Montserrat"/>
          <w:sz w:val="22"/>
          <w:szCs w:val="22"/>
        </w:rPr>
        <w:t xml:space="preserve"> — ou seja, esse valor já caiu em caixa nas contas Santander (com deságio aplicado), e o restante (R$ 689 mil) vai entrar conforme vencimento natural das parcelas, no longo prazo.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Não há operações de antecipação pontual abertas no snapshot atual.</w:t>
      </w:r>
      <w:r>
        <w:rPr>
          <w:rFonts w:ascii="Montserrat" w:cs="Montserrat" w:eastAsia="Montserrat" w:hAnsi="Montserrat"/>
          <w:sz w:val="22"/>
          <w:szCs w:val="22"/>
        </w:rPr>
        <w:t xml:space="preserve"> A política observada é de cessão seletiva, não automática — coerente com o que o Termo de Condições Comerciais da Get Net da BH indica.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Achados materiais consolidados — visão classificada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Aplicando a disciplina FATO × HIPÓTESE em todos os achados até aqui: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Achado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0D2F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Próximo passo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Receita Bruta Grupo 2025 = R$ 3,67 milhões; Lucro Líquido = R$ 1,25 milhão.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FATO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Base para diagnóstico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Adiantamentos a Fornecedores R$ 5,6 milhões no Balanço 2025.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FATO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Esclarecimento técnico no Mês 2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Margem líquida BH (40,6%) bem superior à Mais (27,6%).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FATO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Investigar assimetria de custos compartilhados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MDR efetivo observado: 2,62% Matriz, 2,40% Filial, 2,36% BH (média Grupo 2,42%).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FATO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Base para projeção de custo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Saldo a receber em cartão Grupo: R$ 1,04 milhão (33,5% já cedido).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FATO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Compor fluxo de caixa projetado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Caminho efetivo do dinheiro tem gap parcialmente atribuível a defasagem + extratos pendentes + cessão.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HIPÓTESE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Confirmar com extratos completos + Termo de Cessão</w:t>
            </w:r>
          </w:p>
        </w:tc>
      </w:tr>
      <w:tr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Vendas em cartão da Filial Proview com discrepância maior que Matriz e BH (em alguns meses).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HIPÓTESE</w:t>
            </w:r>
          </w:p>
        </w:tc>
        <w:tc>
          <w:tcPr>
            <w:tcBorders>
              <w:top w:val="single" w:color="D9D7D5" w:sz="4"/>
              <w:left w:val="single" w:color="D9D7D5" w:sz="4"/>
              <w:bottom w:val="single" w:color="D9D7D5" w:sz="4"/>
              <w:right w:val="single" w:color="D9D7D5" w:sz="4"/>
            </w:tcBorders>
            <w:shd w:fill="F2F0E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color w:val="0D2F3A"/>
                <w:sz w:val="17"/>
                <w:szCs w:val="17"/>
              </w:rPr>
              <w:t xml:space="preserve">Investigar com dados complementares (R04)</w:t>
            </w:r>
          </w:p>
        </w:tc>
      </w:tr>
    </w:tbl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Sobre a estrutura societária — nossa próxima conversa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Doutor, mantenho aqui o que já estava na versão anterior, apenas para que continue registrado: a configuração societária do grupo, considerando as três inscrições, tem aspectos tributários que merecem uma conversa em momento próprio — provavelmente entre o Mês 3 e o Mês 4, depois que o diagnóstico financeiro estiver consolidado e o senhor tiver absorvido os primeiros resultados.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Para a reunião do dia 16/06, vamos manter o foco no quadro financeiro e operacional. O tema tributário voltará quando for o momento, com dados completos e provavelmente referência a um tributarista especializado.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Próxima reunião — sugestão de pauta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Para o encontro de 16/06, proponho a seguinte ordem: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Apresentação do quadro 2025 fechado (Bloco A)</w:t>
      </w:r>
      <w:r>
        <w:rPr>
          <w:rFonts w:ascii="Montserrat" w:cs="Montserrat" w:eastAsia="Montserrat" w:hAnsi="Montserrat"/>
          <w:sz w:val="22"/>
          <w:szCs w:val="22"/>
        </w:rPr>
        <w:t xml:space="preserve"> — receita, margem e lucro por nível, com foco no comparativo Mais × BH.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Apresentação do quadro 2026 em curso (Bloco B)</w:t>
      </w:r>
      <w:r>
        <w:rPr>
          <w:rFonts w:ascii="Montserrat" w:cs="Montserrat" w:eastAsia="Montserrat" w:hAnsi="Montserrat"/>
          <w:sz w:val="22"/>
          <w:szCs w:val="22"/>
        </w:rPr>
        <w:t xml:space="preserve"> — vendas em cartão, caixa efetivo, MDR observado.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Saldo a receber e projeção de caixa</w:t>
      </w:r>
      <w:r>
        <w:rPr>
          <w:rFonts w:ascii="Montserrat" w:cs="Montserrat" w:eastAsia="Montserrat" w:hAnsi="Montserrat"/>
          <w:sz w:val="22"/>
          <w:szCs w:val="22"/>
        </w:rPr>
        <w:t xml:space="preserve"> — visão dos próximos 12 meses com base na Agenda Financeira.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Os dois achados que merecem atenção em conjunto</w:t>
      </w:r>
      <w:r>
        <w:rPr>
          <w:rFonts w:ascii="Montserrat" w:cs="Montserrat" w:eastAsia="Montserrat" w:hAnsi="Montserrat"/>
          <w:sz w:val="22"/>
          <w:szCs w:val="22"/>
        </w:rPr>
        <w:t xml:space="preserve"> — Adiantamentos a Fornecedores e assimetria Mais × BH.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Combinados operacionais para a Marco Zero</w:t>
      </w:r>
      <w:r>
        <w:rPr>
          <w:rFonts w:ascii="Montserrat" w:cs="Montserrat" w:eastAsia="Montserrat" w:hAnsi="Montserrat"/>
          <w:sz w:val="22"/>
          <w:szCs w:val="22"/>
        </w:rPr>
        <w:t xml:space="preserve"> — formato e periodicidade dos relatórios recorrentes a partir do Mês 2.</w:t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Encerramento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Doutor, a base está construída e o quadro começa a tomar forma. A impressão que fica desses primeiros oito dias é que temos uma equipe interna muito colaborativa do lado das Óticas Mais — a Jeane respondeu rápido e bem; a Debora apoiou no operacional. Isso acelera o nosso trabalho consideravelmente.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Qualquer dúvida ou ajuste, me chama. Nos vemos no dia 16.</w:t>
      </w:r>
    </w:p>
    <w:p>
      <w:pPr>
        <w:spacing w:after="80" w:before="200" w:line="300"/>
        <w:jc w:val="both"/>
      </w:pPr>
      <w:r>
        <w:rPr>
          <w:rFonts w:ascii="Montserrat" w:cs="Montserrat" w:eastAsia="Montserrat" w:hAnsi="Montserrat"/>
          <w:sz w:val="22"/>
          <w:szCs w:val="22"/>
        </w:rPr>
        <w:t xml:space="preserve">Forte abraço,</w:t>
      </w:r>
    </w:p>
    <w:p>
      <w:pPr>
        <w:spacing w:after="80" w:before="100" w:line="300"/>
        <w:jc w:val="both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Wesley Júnio de Oliveira Amaral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color w:val="8B8689"/>
          <w:sz w:val="20"/>
          <w:szCs w:val="20"/>
        </w:rPr>
        <w:t xml:space="preserve">Marco Zero — Inteligência Financeira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color w:val="8B8689"/>
          <w:sz w:val="20"/>
          <w:szCs w:val="20"/>
        </w:rPr>
        <w:t xml:space="preserve">wesley@marcozerointeligencia.com.br  ·  (31) 99603-8407</w:t>
      </w:r>
    </w:p>
    <w:sectPr>
      <w:headerReference w:type="default" r:id="rId7"/>
      <w:footerReference w:type="default" r:id="rId8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Montserrat" w:cs="Montserrat" w:eastAsia="Montserrat" w:hAnsi="Montserrat"/>
        <w:color w:val="8B8689"/>
        <w:sz w:val="16"/>
        <w:szCs w:val="16"/>
      </w:rPr>
      <w:t xml:space="preserve">Prévia de Andamento · Óticas Mais Ltda · 05/06/2026 · v4 · pág.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Montserrat" w:cs="Montserrat" w:eastAsia="Montserrat" w:hAnsi="Montserrat"/>
        <w:color w:val="8B8689"/>
        <w:sz w:val="16"/>
        <w:szCs w:val="16"/>
      </w:rPr>
      <w:t xml:space="preserve">MARCO ZERO · Inteligência Financeira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ontserrat" w:cs="Montserrat" w:eastAsia="Montserrat" w:hAnsi="Montserrat"/>
      <w:b/>
      <w:bCs/>
      <w:color w:val="0D2F3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ontserrat" w:cs="Montserrat" w:eastAsia="Montserrat" w:hAnsi="Montserrat"/>
      <w:b/>
      <w:bCs/>
      <w:color w:val="0D2F3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ontserrat" w:cs="Montserrat" w:eastAsia="Montserrat" w:hAnsi="Montserrat"/>
      <w:b/>
      <w:bCs/>
      <w:color w:val="1E5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Prévia de Andamento — Óticas Mais — v4</dc:title>
  <dc:creator>Marco Zero — Inteligência Financeira</dc:creator>
  <dc:description>Versão 4 com decomposição por estabelecimento — para a reunião de 16/06/2026.</dc:description>
  <cp:lastModifiedBy>Un-named</cp:lastModifiedBy>
  <cp:revision>1</cp:revision>
  <dcterms:created xsi:type="dcterms:W3CDTF">2026-06-05T19:43:38.606Z</dcterms:created>
  <dcterms:modified xsi:type="dcterms:W3CDTF">2026-06-05T19:43:38.607Z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