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Montserrat" w:cs="Montserrat" w:eastAsia="Montserrat" w:hAnsi="Montserrat"/>
          <w:b/>
          <w:bCs/>
          <w:color w:val="0D2F3A"/>
          <w:sz w:val="56"/>
          <w:szCs w:val="56"/>
        </w:rPr>
        <w:t xml:space="preserve">MARCO ZERO</w:t>
      </w:r>
    </w:p>
    <w:p>
      <w:pPr>
        <w:spacing w:after="120"/>
        <w:jc w:val="center"/>
      </w:pPr>
      <w:r>
        <w:rPr>
          <w:rFonts w:ascii="Montserrat" w:cs="Montserrat" w:eastAsia="Montserrat" w:hAnsi="Montserrat"/>
          <w:i/>
          <w:iCs/>
          <w:color w:val="8B8689"/>
          <w:sz w:val="28"/>
          <w:szCs w:val="28"/>
        </w:rPr>
        <w:t xml:space="preserve">Inteligência Financeira</w:t>
      </w:r>
    </w:p>
    <w:p>
      <w:pPr>
        <w:pBdr>
          <w:bottom w:val="single" w:color="9C2828" w:sz="8" w:space="4"/>
        </w:pBdr>
        <w:spacing w:after="200" w:before="200"/>
        <w:jc w:val="center"/>
      </w:pPr>
      <w:r>
        <w:rPr>
          <w:rFonts w:ascii="Montserrat" w:cs="Montserrat" w:eastAsia="Montserrat" w:hAnsi="Montserrat"/>
        </w:rPr>
        <w:t xml:space="preserve"> </w:t>
      </w:r>
    </w:p>
    <w:p>
      <w:pPr>
        <w:spacing w:after="100" w:before="1200"/>
        <w:jc w:val="center"/>
      </w:pPr>
      <w:r>
        <w:rPr>
          <w:rFonts w:ascii="Montserrat" w:cs="Montserrat" w:eastAsia="Montserrat" w:hAnsi="Montserrat"/>
          <w:b/>
          <w:bCs/>
          <w:color w:val="9C2828"/>
          <w:sz w:val="24"/>
          <w:szCs w:val="24"/>
        </w:rPr>
        <w:t xml:space="preserve">USO INTERNO · CONFIDENCIAL</w:t>
      </w:r>
    </w:p>
    <w:p>
      <w:pPr>
        <w:spacing w:after="600"/>
        <w:jc w:val="center"/>
      </w:pPr>
      <w:r>
        <w:rPr>
          <w:rFonts w:ascii="Montserrat" w:cs="Montserrat" w:eastAsia="Montserrat" w:hAnsi="Montserrat"/>
          <w:i/>
          <w:iCs/>
          <w:color w:val="9C2828"/>
          <w:sz w:val="20"/>
          <w:szCs w:val="20"/>
        </w:rPr>
        <w:t xml:space="preserve">Não compartilhar com a contratante</w:t>
      </w:r>
    </w:p>
    <w:p>
      <w:pPr>
        <w:spacing w:after="200" w:before="200"/>
        <w:jc w:val="center"/>
      </w:pPr>
      <w:r>
        <w:rPr>
          <w:rFonts w:ascii="Montserrat" w:cs="Montserrat" w:eastAsia="Montserrat" w:hAnsi="Montserrat"/>
          <w:b/>
          <w:bCs/>
          <w:color w:val="0D2F3A"/>
          <w:sz w:val="44"/>
          <w:szCs w:val="44"/>
        </w:rPr>
        <w:t xml:space="preserve">MEMORANDO TÉCNICO</w:t>
      </w:r>
    </w:p>
    <w:p>
      <w:pPr>
        <w:spacing w:after="100"/>
        <w:jc w:val="center"/>
      </w:pPr>
      <w:r>
        <w:rPr>
          <w:rFonts w:ascii="Montserrat" w:cs="Montserrat" w:eastAsia="Montserrat" w:hAnsi="Montserrat"/>
          <w:b/>
          <w:bCs/>
          <w:color w:val="0D2F3A"/>
          <w:sz w:val="44"/>
          <w:szCs w:val="44"/>
        </w:rPr>
        <w:t xml:space="preserve">INTERNO</w:t>
      </w:r>
    </w:p>
    <w:p>
      <w:pPr>
        <w:spacing w:after="200"/>
        <w:jc w:val="center"/>
      </w:pPr>
      <w:r>
        <w:rPr>
          <w:rFonts w:ascii="Montserrat" w:cs="Montserrat" w:eastAsia="Montserrat" w:hAnsi="Montserrat"/>
          <w:i/>
          <w:iCs/>
          <w:color w:val="8B8689"/>
          <w:sz w:val="22"/>
          <w:szCs w:val="22"/>
        </w:rPr>
        <w:t xml:space="preserve">Riscos materiais identificados em D+1 do engajamento</w:t>
      </w:r>
    </w:p>
    <w:p>
      <w:pPr>
        <w:spacing w:after="600"/>
        <w:jc w:val="center"/>
      </w:pPr>
      <w:r>
        <w:rPr>
          <w:rFonts w:ascii="Montserrat" w:cs="Montserrat" w:eastAsia="Montserrat" w:hAnsi="Montserrat"/>
          <w:color w:val="0D2F3A"/>
          <w:sz w:val="20"/>
          <w:szCs w:val="20"/>
        </w:rPr>
        <w:t xml:space="preserve">Cliente: Óticas Mais Ltda · CNPJ 07.843.328/0001-19</w:t>
      </w:r>
    </w:p>
    <w:p>
      <w:pPr>
        <w:spacing w:after="80" w:before="600"/>
        <w:jc w:val="center"/>
      </w:pPr>
      <w:r>
        <w:rPr>
          <w:rFonts w:ascii="Montserrat" w:cs="Montserrat" w:eastAsia="Montserrat" w:hAnsi="Montserrat"/>
          <w:color w:val="8B8689"/>
          <w:sz w:val="18"/>
          <w:szCs w:val="18"/>
        </w:rPr>
        <w:t xml:space="preserve">AUTOR · DATA</w:t>
      </w:r>
    </w:p>
    <w:p>
      <w:pPr>
        <w:spacing w:after="80"/>
        <w:jc w:val="center"/>
      </w:pPr>
      <w:r>
        <w:rPr>
          <w:rFonts w:ascii="Montserrat" w:cs="Montserrat" w:eastAsia="Montserrat" w:hAnsi="Montserrat"/>
          <w:b/>
          <w:bCs/>
          <w:color w:val="0D2F3A"/>
          <w:sz w:val="22"/>
          <w:szCs w:val="22"/>
        </w:rPr>
        <w:t xml:space="preserve">Wesley Júnio de Oliveira Amaral · Marco Zero</w:t>
      </w:r>
    </w:p>
    <w:p>
      <w:pPr>
        <w:spacing w:after="80"/>
        <w:jc w:val="center"/>
      </w:pPr>
      <w:r>
        <w:rPr>
          <w:rFonts w:ascii="Montserrat" w:cs="Montserrat" w:eastAsia="Montserrat" w:hAnsi="Montserrat"/>
          <w:color w:val="0D2F3A"/>
          <w:sz w:val="20"/>
          <w:szCs w:val="20"/>
        </w:rPr>
        <w:t xml:space="preserve">Belo Horizonte, 02 de junho de 2026</w:t>
      </w:r>
    </w:p>
    <w:p>
      <w:pPr>
        <w:pageBreakBefore/>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9C2828" w:sz="24"/>
              <w:bottom w:val="none" w:color="FFFFFF" w:sz="0"/>
              <w:right w:val="none" w:color="FFFFFF" w:sz="0"/>
            </w:tcBorders>
            <w:shd w:fill="FBEAEA" w:val="clear"/>
            <w:tcMar>
              <w:top w:type="dxa" w:w="200"/>
              <w:left w:type="dxa" w:w="240"/>
              <w:bottom w:type="dxa" w:w="200"/>
              <w:right w:type="dxa" w:w="240"/>
            </w:tcMar>
          </w:tcPr>
          <w:p>
            <w:pPr>
              <w:spacing w:after="80"/>
            </w:pPr>
            <w:r>
              <w:rPr>
                <w:rFonts w:ascii="Montserrat" w:cs="Montserrat" w:eastAsia="Montserrat" w:hAnsi="Montserrat"/>
                <w:b/>
                <w:bCs/>
                <w:color w:val="9C2828"/>
                <w:sz w:val="22"/>
                <w:szCs w:val="22"/>
              </w:rPr>
              <w:t xml:space="preserve">AVISO DE CONFIDENCIALIDADE E PROPÓSITO</w:t>
            </w:r>
          </w:p>
          <w:p>
            <w:pPr>
              <w:spacing w:after="40" w:before="40" w:line="280"/>
              <w:jc w:val="both"/>
            </w:pPr>
            <w:r>
              <w:rPr>
                <w:rFonts w:ascii="Montserrat" w:cs="Montserrat" w:eastAsia="Montserrat" w:hAnsi="Montserrat"/>
                <w:sz w:val="20"/>
                <w:szCs w:val="20"/>
              </w:rPr>
              <w:t xml:space="preserve">Este memorando é documento INTERNO da Marco Zero Inteligência Financeira Ltda. Não deve ser compartilhado com o contratante (Óticas Mais Ltda) nem com terceiros.</w:t>
            </w:r>
          </w:p>
          <w:p>
            <w:pPr>
              <w:spacing w:after="40" w:before="40" w:line="280"/>
              <w:jc w:val="both"/>
            </w:pPr>
            <w:r>
              <w:rPr>
                <w:rFonts w:ascii="Montserrat" w:cs="Montserrat" w:eastAsia="Montserrat" w:hAnsi="Montserrat"/>
                <w:sz w:val="20"/>
                <w:szCs w:val="20"/>
              </w:rPr>
              <w:t xml:space="preserve">Seu propósito é (i) registrar formalmente, na data de identificação, os riscos materiais observados durante a execução do contrato de Inteligência Financeira; (ii) documentar a ciência do contador responsável (Wesley Júnio de Oliveira Amaral, CRC) sobre tais riscos; (iii) registrar a recomendação técnica feita ao cliente; e (iv) servir como defesa profissional perante o Conselho Regional de Contabilidade caso, em algum momento, a estrutura analisada seja objeto de questionamento fiscal ou criminal-tributário.</w:t>
            </w:r>
          </w:p>
          <w:p>
            <w:pPr>
              <w:spacing w:after="40" w:before="40" w:line="280"/>
              <w:jc w:val="both"/>
            </w:pPr>
            <w:r>
              <w:rPr>
                <w:rFonts w:ascii="Montserrat" w:cs="Montserrat" w:eastAsia="Montserrat" w:hAnsi="Montserrat"/>
                <w:sz w:val="20"/>
                <w:szCs w:val="20"/>
              </w:rPr>
              <w:t xml:space="preserve">Este documento NÃO substitui parecer jurídico-tributário. Recomenda-se que, antes de qualquer reorganização efetiva, o cliente seja orientado a contratar advogado tributarista para análise formal.</w:t>
            </w:r>
          </w:p>
        </w:tc>
      </w:tr>
    </w:tbl>
    <w:p>
      <w:pPr>
        <w:pStyle w:val="Heading1"/>
        <w:spacing w:after="200" w:before="360"/>
      </w:pPr>
      <w:r>
        <w:rPr>
          <w:rFonts w:ascii="Montserrat" w:cs="Montserrat" w:eastAsia="Montserrat" w:hAnsi="Montserrat"/>
          <w:b/>
          <w:bCs/>
          <w:color w:val="0D2F3A"/>
          <w:sz w:val="32"/>
          <w:szCs w:val="32"/>
        </w:rPr>
        <w:t xml:space="preserve">1. Objeto</w:t>
      </w:r>
    </w:p>
    <w:p>
      <w:pPr>
        <w:spacing w:after="80" w:before="80" w:line="300"/>
        <w:jc w:val="both"/>
      </w:pPr>
      <w:r>
        <w:rPr>
          <w:rFonts w:ascii="Montserrat" w:cs="Montserrat" w:eastAsia="Montserrat" w:hAnsi="Montserrat"/>
          <w:sz w:val="22"/>
          <w:szCs w:val="22"/>
        </w:rPr>
        <w:t xml:space="preserve">Registrar, em uso interno da Marco Zero, dois achados materiais identificados no primeiro dia útil de execução do contrato de Inteligência Financeira firmado com Óticas Mais Ltda (CNPJ 07.843.328/0001-19), na pessoa de seu sócio-administrador Dr. Haldley Campolina Vidal, em 01 de junho de 2026.</w:t>
      </w:r>
    </w:p>
    <w:p>
      <w:pPr>
        <w:spacing w:after="80" w:before="80" w:line="300"/>
        <w:jc w:val="both"/>
      </w:pPr>
      <w:r>
        <w:rPr>
          <w:rFonts w:ascii="Montserrat" w:cs="Montserrat" w:eastAsia="Montserrat" w:hAnsi="Montserrat"/>
          <w:sz w:val="22"/>
          <w:szCs w:val="22"/>
        </w:rPr>
        <w:t xml:space="preserve">Os dois achados são:</w:t>
      </w:r>
    </w:p>
    <w:p>
      <w:pPr>
        <w:pStyle w:val="ListParagraph"/>
        <w:numPr>
          <w:ilvl w:val="0"/>
          <w:numId w:val="1"/>
        </w:numPr>
        <w:spacing w:after="60" w:before="60" w:line="280"/>
      </w:pPr>
      <w:r>
        <w:rPr>
          <w:rFonts w:ascii="Montserrat" w:cs="Montserrat" w:eastAsia="Montserrat" w:hAnsi="Montserrat"/>
          <w:sz w:val="22"/>
          <w:szCs w:val="22"/>
        </w:rPr>
        <w:t xml:space="preserve">Achado #1 — </w:t>
      </w:r>
      <w:r>
        <w:rPr>
          <w:rFonts w:ascii="Montserrat" w:cs="Montserrat" w:eastAsia="Montserrat" w:hAnsi="Montserrat"/>
          <w:b/>
          <w:bCs/>
          <w:sz w:val="22"/>
          <w:szCs w:val="22"/>
        </w:rPr>
        <w:t xml:space="preserve">Estrutura de fragmentação de receita </w:t>
      </w:r>
      <w:r>
        <w:rPr>
          <w:rFonts w:ascii="Montserrat" w:cs="Montserrat" w:eastAsia="Montserrat" w:hAnsi="Montserrat"/>
          <w:sz w:val="22"/>
          <w:szCs w:val="22"/>
        </w:rPr>
        <w:t xml:space="preserve">envolvendo a Filial OTICA PROVIEW (CNPJ 07.843.328/0002-08) como pessoa jurídica sem substância operacional, com indícios de simulação societária para fracionamento de faturamento para fins de manutenção no regime do Simples Nacional.</w:t>
      </w:r>
    </w:p>
    <w:p>
      <w:pPr>
        <w:pStyle w:val="ListParagraph"/>
        <w:numPr>
          <w:ilvl w:val="0"/>
          <w:numId w:val="1"/>
        </w:numPr>
        <w:spacing w:after="60" w:before="60" w:line="280"/>
      </w:pPr>
      <w:r>
        <w:rPr>
          <w:rFonts w:ascii="Montserrat" w:cs="Montserrat" w:eastAsia="Montserrat" w:hAnsi="Montserrat"/>
          <w:sz w:val="22"/>
          <w:szCs w:val="22"/>
        </w:rPr>
        <w:t xml:space="preserve">Achado #2 — </w:t>
      </w:r>
      <w:r>
        <w:rPr>
          <w:rFonts w:ascii="Montserrat" w:cs="Montserrat" w:eastAsia="Montserrat" w:hAnsi="Montserrat"/>
          <w:b/>
          <w:bCs/>
          <w:sz w:val="22"/>
          <w:szCs w:val="22"/>
        </w:rPr>
        <w:t xml:space="preserve">Prática de pagamento de comissões a vendedores </w:t>
      </w:r>
      <w:r>
        <w:rPr>
          <w:rFonts w:ascii="Montserrat" w:cs="Montserrat" w:eastAsia="Montserrat" w:hAnsi="Montserrat"/>
          <w:sz w:val="22"/>
          <w:szCs w:val="22"/>
        </w:rPr>
        <w:t xml:space="preserve">por mecanismo de "adiantamento" sem registro formal (off-folha), com impacto em apuração de folha, encargos sociais e base tributária.</w:t>
      </w:r>
    </w:p>
    <w:p>
      <w:pPr>
        <w:pStyle w:val="Heading1"/>
        <w:spacing w:after="200" w:before="360"/>
      </w:pPr>
      <w:r>
        <w:rPr>
          <w:rFonts w:ascii="Montserrat" w:cs="Montserrat" w:eastAsia="Montserrat" w:hAnsi="Montserrat"/>
          <w:b/>
          <w:bCs/>
          <w:color w:val="0D2F3A"/>
          <w:sz w:val="32"/>
          <w:szCs w:val="32"/>
        </w:rPr>
        <w:t xml:space="preserve">2. Estrutura societária do grupo Óticas Mais / Óticas BH</w:t>
      </w:r>
    </w:p>
    <w:p>
      <w:pPr>
        <w:spacing w:after="80" w:before="80" w:line="300"/>
        <w:jc w:val="both"/>
      </w:pPr>
      <w:r>
        <w:rPr>
          <w:rFonts w:ascii="Montserrat" w:cs="Montserrat" w:eastAsia="Montserrat" w:hAnsi="Montserrat"/>
          <w:sz w:val="22"/>
          <w:szCs w:val="22"/>
        </w:rPr>
        <w:t xml:space="preserve">Pessoas jurídicas que orbitam o controle do Dr. Haldley Campolina Vidal: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D9D7D5" w:sz="4"/>
              <w:left w:val="single" w:color="D9D7D5" w:sz="4"/>
              <w:bottom w:val="single" w:color="D9D7D5" w:sz="4"/>
              <w:right w:val="single" w:color="D9D7D5" w:sz="4"/>
            </w:tcBorders>
            <w:shd w:fill="0D2F3A" w:val="clear"/>
            <w:tcMar>
              <w:top w:type="dxa" w:w="120"/>
              <w:left w:type="dxa" w:w="160"/>
              <w:bottom w:type="dxa" w:w="120"/>
              <w:right w:type="dxa" w:w="160"/>
            </w:tcMar>
          </w:tcPr>
          <w:p>
            <w:pPr>
              <w:spacing w:after="0" w:before="0"/>
              <w:jc w:val="left"/>
            </w:pPr>
            <w:r>
              <w:rPr>
                <w:rFonts w:ascii="Montserrat" w:cs="Montserrat" w:eastAsia="Montserrat" w:hAnsi="Montserrat"/>
                <w:b/>
                <w:bCs/>
                <w:color w:val="FFFFFF"/>
                <w:sz w:val="20"/>
                <w:szCs w:val="20"/>
              </w:rPr>
              <w:t xml:space="preserve">PJ · Razão social</w:t>
            </w:r>
          </w:p>
        </w:tc>
        <w:tc>
          <w:tcPr>
            <w:tcBorders>
              <w:top w:val="single" w:color="D9D7D5" w:sz="4"/>
              <w:left w:val="single" w:color="D9D7D5" w:sz="4"/>
              <w:bottom w:val="single" w:color="D9D7D5" w:sz="4"/>
              <w:right w:val="single" w:color="D9D7D5" w:sz="4"/>
            </w:tcBorders>
            <w:shd w:fill="0D2F3A" w:val="clear"/>
            <w:tcMar>
              <w:top w:type="dxa" w:w="120"/>
              <w:left w:type="dxa" w:w="160"/>
              <w:bottom w:type="dxa" w:w="120"/>
              <w:right w:type="dxa" w:w="160"/>
            </w:tcMar>
          </w:tcPr>
          <w:p>
            <w:pPr>
              <w:spacing w:after="0" w:before="0"/>
              <w:jc w:val="left"/>
            </w:pPr>
            <w:r>
              <w:rPr>
                <w:rFonts w:ascii="Montserrat" w:cs="Montserrat" w:eastAsia="Montserrat" w:hAnsi="Montserrat"/>
                <w:b/>
                <w:bCs/>
                <w:color w:val="FFFFFF"/>
                <w:sz w:val="20"/>
                <w:szCs w:val="20"/>
              </w:rPr>
              <w:t xml:space="preserve">CNPJ</w:t>
            </w:r>
          </w:p>
        </w:tc>
        <w:tc>
          <w:tcPr>
            <w:tcBorders>
              <w:top w:val="single" w:color="D9D7D5" w:sz="4"/>
              <w:left w:val="single" w:color="D9D7D5" w:sz="4"/>
              <w:bottom w:val="single" w:color="D9D7D5" w:sz="4"/>
              <w:right w:val="single" w:color="D9D7D5" w:sz="4"/>
            </w:tcBorders>
            <w:shd w:fill="0D2F3A" w:val="clear"/>
            <w:tcMar>
              <w:top w:type="dxa" w:w="120"/>
              <w:left w:type="dxa" w:w="160"/>
              <w:bottom w:type="dxa" w:w="120"/>
              <w:right w:type="dxa" w:w="160"/>
            </w:tcMar>
          </w:tcPr>
          <w:p>
            <w:pPr>
              <w:spacing w:after="0" w:before="0"/>
              <w:jc w:val="left"/>
            </w:pPr>
            <w:r>
              <w:rPr>
                <w:rFonts w:ascii="Montserrat" w:cs="Montserrat" w:eastAsia="Montserrat" w:hAnsi="Montserrat"/>
                <w:b/>
                <w:bCs/>
                <w:color w:val="FFFFFF"/>
                <w:sz w:val="20"/>
                <w:szCs w:val="20"/>
              </w:rPr>
              <w:t xml:space="preserve">Endereço cadastral</w:t>
            </w:r>
          </w:p>
        </w:tc>
        <w:tc>
          <w:tcPr>
            <w:tcBorders>
              <w:top w:val="single" w:color="D9D7D5" w:sz="4"/>
              <w:left w:val="single" w:color="D9D7D5" w:sz="4"/>
              <w:bottom w:val="single" w:color="D9D7D5" w:sz="4"/>
              <w:right w:val="single" w:color="D9D7D5" w:sz="4"/>
            </w:tcBorders>
            <w:shd w:fill="0D2F3A" w:val="clear"/>
            <w:tcMar>
              <w:top w:type="dxa" w:w="120"/>
              <w:left w:type="dxa" w:w="160"/>
              <w:bottom w:type="dxa" w:w="120"/>
              <w:right w:type="dxa" w:w="160"/>
            </w:tcMar>
          </w:tcPr>
          <w:p>
            <w:pPr>
              <w:spacing w:after="0" w:before="0"/>
              <w:jc w:val="left"/>
            </w:pPr>
            <w:r>
              <w:rPr>
                <w:rFonts w:ascii="Montserrat" w:cs="Montserrat" w:eastAsia="Montserrat" w:hAnsi="Montserrat"/>
                <w:b/>
                <w:bCs/>
                <w:color w:val="FFFFFF"/>
                <w:sz w:val="20"/>
                <w:szCs w:val="20"/>
              </w:rPr>
              <w:t xml:space="preserve">Realidade física</w:t>
            </w:r>
          </w:p>
        </w:tc>
      </w:tr>
      <w:tr>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Óticas Mais Ltda · OPTICA LUMINIS (Matriz)</w:t>
            </w:r>
          </w:p>
        </w:tc>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07.843.328/0001-19</w:t>
            </w:r>
          </w:p>
        </w:tc>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R. Domingos Grosso, 230 — Venda Nova — BH/MG</w:t>
            </w:r>
          </w:p>
        </w:tc>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REAL — loja, funcionários, estoque, caixa</w:t>
            </w:r>
          </w:p>
        </w:tc>
      </w:tr>
      <w:tr>
        <w:tc>
          <w:tcPr>
            <w:tcBorders>
              <w:top w:val="single" w:color="D9D7D5" w:sz="4"/>
              <w:left w:val="single" w:color="D9D7D5" w:sz="4"/>
              <w:bottom w:val="single" w:color="D9D7D5" w:sz="4"/>
              <w:right w:val="single" w:color="D9D7D5" w:sz="4"/>
            </w:tcBorders>
            <w:shd w:fill="FFFFF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Óticas Mais Ltda · OTICA PROVIEW (Filial)</w:t>
            </w:r>
          </w:p>
        </w:tc>
        <w:tc>
          <w:tcPr>
            <w:tcBorders>
              <w:top w:val="single" w:color="D9D7D5" w:sz="4"/>
              <w:left w:val="single" w:color="D9D7D5" w:sz="4"/>
              <w:bottom w:val="single" w:color="D9D7D5" w:sz="4"/>
              <w:right w:val="single" w:color="D9D7D5" w:sz="4"/>
            </w:tcBorders>
            <w:shd w:fill="FFFFF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07.843.328/0002-08</w:t>
            </w:r>
          </w:p>
        </w:tc>
        <w:tc>
          <w:tcPr>
            <w:tcBorders>
              <w:top w:val="single" w:color="D9D7D5" w:sz="4"/>
              <w:left w:val="single" w:color="D9D7D5" w:sz="4"/>
              <w:bottom w:val="single" w:color="D9D7D5" w:sz="4"/>
              <w:right w:val="single" w:color="D9D7D5" w:sz="4"/>
            </w:tcBorders>
            <w:shd w:fill="FFFFF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R. dos Otoni, 742 Loja 104 — Sta Efigênia — BH/MG</w:t>
            </w:r>
          </w:p>
        </w:tc>
        <w:tc>
          <w:tcPr>
            <w:tcBorders>
              <w:top w:val="single" w:color="D9D7D5" w:sz="4"/>
              <w:left w:val="single" w:color="D9D7D5" w:sz="4"/>
              <w:bottom w:val="single" w:color="D9D7D5" w:sz="4"/>
              <w:right w:val="single" w:color="D9D7D5" w:sz="4"/>
            </w:tcBorders>
            <w:shd w:fill="FFFFF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Sem substância operacional — endereço cadastral sem loja física correspondente; sem funcionários próprios; sem estoque próprio</w:t>
            </w:r>
          </w:p>
        </w:tc>
      </w:tr>
      <w:tr>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Óticas BH Ltda</w:t>
            </w:r>
          </w:p>
        </w:tc>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18.960.845/0001-94</w:t>
            </w:r>
          </w:p>
        </w:tc>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R. dos Otoni, 742 Sala 710 — Sta Efigênia — BH/MG</w:t>
            </w:r>
          </w:p>
        </w:tc>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REAL — loja, funcionários, estoque, caixa</w:t>
            </w:r>
          </w:p>
        </w:tc>
      </w:tr>
    </w:tbl>
    <w:p>
      <w:pPr>
        <w:spacing w:after="80" w:before="100" w:line="300"/>
        <w:jc w:val="both"/>
      </w:pPr>
      <w:r>
        <w:rPr>
          <w:rFonts w:ascii="Montserrat" w:cs="Montserrat" w:eastAsia="Montserrat" w:hAnsi="Montserrat"/>
          <w:sz w:val="22"/>
          <w:szCs w:val="22"/>
        </w:rPr>
        <w:t xml:space="preserve">Estrutura societária do grupo: duas Pessoas Jurídicas distintas (raízes de CNPJ 07.843.328 e 18.960.845), com três estabelecimentos no total. Matriz Luminis e Filial Proview compartilham a personalidade jurídica da Óticas Mais Ltda; Óticas BH Ltda é PJ separada. Sócio-administrador único em ambas as PJs: Dr. Haldley Campolina Vidal. Atividade econômica idêntica nas duas PJs (CNAE 47.74-1-00 — Comércio varejista de artigos de óptica). Natureza jurídica idêntica (Sociedade Empresária Limitada). Regime tributário: Simples Nacional nas duas.</w:t>
      </w:r>
    </w:p>
    <w:p>
      <w:pPr>
        <w:pStyle w:val="Heading1"/>
        <w:spacing w:after="200" w:before="360"/>
      </w:pPr>
      <w:r>
        <w:rPr>
          <w:rFonts w:ascii="Montserrat" w:cs="Montserrat" w:eastAsia="Montserrat" w:hAnsi="Montserrat"/>
          <w:b/>
          <w:bCs/>
          <w:color w:val="0D2F3A"/>
          <w:sz w:val="32"/>
          <w:szCs w:val="32"/>
        </w:rPr>
        <w:t xml:space="preserve">3. Achado #1 — Fragmentação de receita com pessoa jurídica simulada (Filial Proview)</w:t>
      </w:r>
    </w:p>
    <w:p>
      <w:pPr>
        <w:pStyle w:val="Heading2"/>
        <w:spacing w:after="140" w:before="280"/>
      </w:pPr>
      <w:r>
        <w:rPr>
          <w:rFonts w:ascii="Montserrat" w:cs="Montserrat" w:eastAsia="Montserrat" w:hAnsi="Montserrat"/>
          <w:b/>
          <w:bCs/>
          <w:color w:val="0D2F3A"/>
          <w:sz w:val="26"/>
          <w:szCs w:val="26"/>
        </w:rPr>
        <w:t xml:space="preserve">3.1. Fatos observados</w:t>
      </w:r>
    </w:p>
    <w:p>
      <w:pPr>
        <w:spacing w:after="80" w:before="80" w:line="300"/>
        <w:jc w:val="both"/>
      </w:pPr>
      <w:r>
        <w:rPr>
          <w:rFonts w:ascii="Montserrat" w:cs="Montserrat" w:eastAsia="Montserrat" w:hAnsi="Montserrat"/>
          <w:sz w:val="22"/>
          <w:szCs w:val="22"/>
        </w:rPr>
        <w:t xml:space="preserve">Em conversa com Wesley Amaral em 02/06/2026 (final do dia), confirmou-se que:</w:t>
      </w:r>
    </w:p>
    <w:p>
      <w:pPr>
        <w:pStyle w:val="ListParagraph"/>
        <w:numPr>
          <w:ilvl w:val="0"/>
          <w:numId w:val="1"/>
        </w:numPr>
        <w:spacing w:after="60" w:before="60" w:line="280"/>
      </w:pPr>
      <w:r>
        <w:rPr>
          <w:rFonts w:ascii="Montserrat" w:cs="Montserrat" w:eastAsia="Montserrat" w:hAnsi="Montserrat"/>
          <w:sz w:val="22"/>
          <w:szCs w:val="22"/>
        </w:rPr>
        <w:t xml:space="preserve">A Filial OTICA PROVIEW (07.843.328/0002-08) </w:t>
      </w:r>
      <w:r>
        <w:rPr>
          <w:rFonts w:ascii="Montserrat" w:cs="Montserrat" w:eastAsia="Montserrat" w:hAnsi="Montserrat"/>
          <w:b/>
          <w:bCs/>
          <w:sz w:val="22"/>
          <w:szCs w:val="22"/>
        </w:rPr>
        <w:t xml:space="preserve">não existe fisicamente</w:t>
      </w:r>
      <w:r>
        <w:rPr>
          <w:rFonts w:ascii="Montserrat" w:cs="Montserrat" w:eastAsia="Montserrat" w:hAnsi="Montserrat"/>
          <w:sz w:val="22"/>
          <w:szCs w:val="22"/>
        </w:rPr>
        <w:t xml:space="preserve"> no endereço cadastrado (R. dos Otoni, 742 Loja 104). Não há loja, não há ponto de atendimento, não há vitrine.</w:t>
      </w:r>
    </w:p>
    <w:p>
      <w:pPr>
        <w:pStyle w:val="ListParagraph"/>
        <w:numPr>
          <w:ilvl w:val="0"/>
          <w:numId w:val="1"/>
        </w:numPr>
        <w:spacing w:after="60" w:before="60" w:line="280"/>
      </w:pPr>
      <w:r>
        <w:rPr>
          <w:rFonts w:ascii="Montserrat" w:cs="Montserrat" w:eastAsia="Montserrat" w:hAnsi="Montserrat"/>
          <w:sz w:val="22"/>
          <w:szCs w:val="22"/>
        </w:rPr>
        <w:t xml:space="preserve">A Filial </w:t>
      </w:r>
      <w:r>
        <w:rPr>
          <w:rFonts w:ascii="Montserrat" w:cs="Montserrat" w:eastAsia="Montserrat" w:hAnsi="Montserrat"/>
          <w:b/>
          <w:bCs/>
          <w:sz w:val="22"/>
          <w:szCs w:val="22"/>
        </w:rPr>
        <w:t xml:space="preserve">não possui funcionários próprios</w:t>
      </w:r>
      <w:r>
        <w:rPr>
          <w:rFonts w:ascii="Montserrat" w:cs="Montserrat" w:eastAsia="Montserrat" w:hAnsi="Montserrat"/>
          <w:sz w:val="22"/>
          <w:szCs w:val="22"/>
        </w:rPr>
        <w:t xml:space="preserve">. A folha de pagamento que existe corresponde aos funcionários da Matriz Luminis.</w:t>
      </w:r>
    </w:p>
    <w:p>
      <w:pPr>
        <w:pStyle w:val="ListParagraph"/>
        <w:numPr>
          <w:ilvl w:val="0"/>
          <w:numId w:val="1"/>
        </w:numPr>
        <w:spacing w:after="60" w:before="60" w:line="280"/>
      </w:pPr>
      <w:r>
        <w:rPr>
          <w:rFonts w:ascii="Montserrat" w:cs="Montserrat" w:eastAsia="Montserrat" w:hAnsi="Montserrat"/>
          <w:sz w:val="22"/>
          <w:szCs w:val="22"/>
        </w:rPr>
        <w:t xml:space="preserve">A Filial </w:t>
      </w:r>
      <w:r>
        <w:rPr>
          <w:rFonts w:ascii="Montserrat" w:cs="Montserrat" w:eastAsia="Montserrat" w:hAnsi="Montserrat"/>
          <w:b/>
          <w:bCs/>
          <w:sz w:val="22"/>
          <w:szCs w:val="22"/>
        </w:rPr>
        <w:t xml:space="preserve">não possui estoque próprio</w:t>
      </w:r>
      <w:r>
        <w:rPr>
          <w:rFonts w:ascii="Montserrat" w:cs="Montserrat" w:eastAsia="Montserrat" w:hAnsi="Montserrat"/>
          <w:sz w:val="22"/>
          <w:szCs w:val="22"/>
        </w:rPr>
        <w:t xml:space="preserve">. As vendas registradas pela Filial são feitas com produtos do estoque da Matriz Luminis (Venda Nova).</w:t>
      </w:r>
    </w:p>
    <w:p>
      <w:pPr>
        <w:pStyle w:val="ListParagraph"/>
        <w:numPr>
          <w:ilvl w:val="0"/>
          <w:numId w:val="1"/>
        </w:numPr>
        <w:spacing w:after="60" w:before="60" w:line="280"/>
      </w:pPr>
      <w:r>
        <w:rPr>
          <w:rFonts w:ascii="Montserrat" w:cs="Montserrat" w:eastAsia="Montserrat" w:hAnsi="Montserrat"/>
          <w:sz w:val="22"/>
          <w:szCs w:val="22"/>
        </w:rPr>
        <w:t xml:space="preserve">A Filial </w:t>
      </w:r>
      <w:r>
        <w:rPr>
          <w:rFonts w:ascii="Montserrat" w:cs="Montserrat" w:eastAsia="Montserrat" w:hAnsi="Montserrat"/>
          <w:b/>
          <w:bCs/>
          <w:sz w:val="22"/>
          <w:szCs w:val="22"/>
        </w:rPr>
        <w:t xml:space="preserve">possui máquinas de cartão (POS) cadastradas em seu CNPJ</w:t>
      </w:r>
      <w:r>
        <w:rPr>
          <w:rFonts w:ascii="Montserrat" w:cs="Montserrat" w:eastAsia="Montserrat" w:hAnsi="Montserrat"/>
          <w:sz w:val="22"/>
          <w:szCs w:val="22"/>
        </w:rPr>
        <w:t xml:space="preserve">, operadas a partir do endereço da Matriz Luminis. As vendas em cartão originadas na Matriz são registradas eletronicamente como receita da Filial.</w:t>
      </w:r>
    </w:p>
    <w:p>
      <w:pPr>
        <w:pStyle w:val="ListParagraph"/>
        <w:numPr>
          <w:ilvl w:val="0"/>
          <w:numId w:val="1"/>
        </w:numPr>
        <w:spacing w:after="60" w:before="60" w:line="280"/>
      </w:pPr>
      <w:r>
        <w:rPr>
          <w:rFonts w:ascii="Montserrat" w:cs="Montserrat" w:eastAsia="Montserrat" w:hAnsi="Montserrat"/>
          <w:sz w:val="22"/>
          <w:szCs w:val="22"/>
        </w:rPr>
        <w:t xml:space="preserve">A Filial </w:t>
      </w:r>
      <w:r>
        <w:rPr>
          <w:rFonts w:ascii="Montserrat" w:cs="Montserrat" w:eastAsia="Montserrat" w:hAnsi="Montserrat"/>
          <w:b/>
          <w:bCs/>
          <w:sz w:val="22"/>
          <w:szCs w:val="22"/>
        </w:rPr>
        <w:t xml:space="preserve">possui contas bancárias em seu CNPJ</w:t>
      </w:r>
      <w:r>
        <w:rPr>
          <w:rFonts w:ascii="Montserrat" w:cs="Montserrat" w:eastAsia="Montserrat" w:hAnsi="Montserrat"/>
          <w:sz w:val="22"/>
          <w:szCs w:val="22"/>
        </w:rPr>
        <w:t xml:space="preserve">, mas o recurso financeiro nelas pertence, na prática, à Matriz Luminis.</w:t>
      </w:r>
    </w:p>
    <w:p>
      <w:pPr>
        <w:pStyle w:val="ListParagraph"/>
        <w:numPr>
          <w:ilvl w:val="0"/>
          <w:numId w:val="1"/>
        </w:numPr>
        <w:spacing w:after="60" w:before="60" w:line="280"/>
      </w:pPr>
      <w:r>
        <w:rPr>
          <w:rFonts w:ascii="Montserrat" w:cs="Montserrat" w:eastAsia="Montserrat" w:hAnsi="Montserrat"/>
          <w:sz w:val="22"/>
          <w:szCs w:val="22"/>
        </w:rPr>
        <w:t xml:space="preserve">As notas fiscais (NF-e modelo 65 — NFC-e) emitidas pela Filial trazem em seu CNPJ vendas que, do ponto de vista da operação real, ocorreram na loja da Matriz.</w:t>
      </w:r>
    </w:p>
    <w:p>
      <w:pPr>
        <w:pStyle w:val="Heading2"/>
        <w:spacing w:after="140" w:before="280"/>
      </w:pPr>
      <w:r>
        <w:rPr>
          <w:rFonts w:ascii="Montserrat" w:cs="Montserrat" w:eastAsia="Montserrat" w:hAnsi="Montserrat"/>
          <w:b/>
          <w:bCs/>
          <w:color w:val="0D2F3A"/>
          <w:sz w:val="26"/>
          <w:szCs w:val="26"/>
        </w:rPr>
        <w:t xml:space="preserve">3.2. Caracterização técnica</w:t>
      </w:r>
    </w:p>
    <w:p>
      <w:pPr>
        <w:spacing w:after="80" w:before="80" w:line="300"/>
        <w:jc w:val="both"/>
      </w:pPr>
      <w:r>
        <w:rPr>
          <w:rFonts w:ascii="Montserrat" w:cs="Montserrat" w:eastAsia="Montserrat" w:hAnsi="Montserrat"/>
          <w:sz w:val="22"/>
          <w:szCs w:val="22"/>
        </w:rPr>
        <w:t xml:space="preserve">A conjugação dos fatos observados configura, em análise técnica preliminar, hipótese típica de simulação societária para fracionamento de receita — instituto vedado pelo art. 167, §1º, I do Código Civil e desconsiderável para fins tributários pelo art. 116, parágrafo único do Código Tributário Nacional ("norma geral antielisiva").</w:t>
      </w:r>
    </w:p>
    <w:p>
      <w:pPr>
        <w:spacing w:after="80" w:before="80" w:line="300"/>
        <w:jc w:val="both"/>
      </w:pPr>
      <w:r>
        <w:rPr>
          <w:rFonts w:ascii="Montserrat" w:cs="Montserrat" w:eastAsia="Montserrat" w:hAnsi="Montserrat"/>
          <w:sz w:val="22"/>
          <w:szCs w:val="22"/>
        </w:rPr>
        <w:t xml:space="preserve">Elementos que reforçam a caracterização:</w:t>
      </w:r>
    </w:p>
    <w:p>
      <w:pPr>
        <w:pStyle w:val="ListParagraph"/>
        <w:numPr>
          <w:ilvl w:val="0"/>
          <w:numId w:val="1"/>
        </w:numPr>
        <w:spacing w:after="60" w:before="60" w:line="280"/>
      </w:pPr>
      <w:r>
        <w:rPr>
          <w:rFonts w:ascii="Montserrat" w:cs="Montserrat" w:eastAsia="Montserrat" w:hAnsi="Montserrat"/>
          <w:sz w:val="22"/>
          <w:szCs w:val="22"/>
        </w:rPr>
        <w:t xml:space="preserve">Mesmo controlador societário nas PJs envolvidas (Dr. Haldley Campolina Vidal).</w:t>
      </w:r>
    </w:p>
    <w:p>
      <w:pPr>
        <w:pStyle w:val="ListParagraph"/>
        <w:numPr>
          <w:ilvl w:val="0"/>
          <w:numId w:val="1"/>
        </w:numPr>
        <w:spacing w:after="60" w:before="60" w:line="280"/>
      </w:pPr>
      <w:r>
        <w:rPr>
          <w:rFonts w:ascii="Montserrat" w:cs="Montserrat" w:eastAsia="Montserrat" w:hAnsi="Montserrat"/>
          <w:sz w:val="22"/>
          <w:szCs w:val="22"/>
        </w:rPr>
        <w:t xml:space="preserve">Identidade de atividade econômica (CNAE 47.74-1-00).</w:t>
      </w:r>
    </w:p>
    <w:p>
      <w:pPr>
        <w:pStyle w:val="ListParagraph"/>
        <w:numPr>
          <w:ilvl w:val="0"/>
          <w:numId w:val="1"/>
        </w:numPr>
        <w:spacing w:after="60" w:before="60" w:line="280"/>
      </w:pPr>
      <w:r>
        <w:rPr>
          <w:rFonts w:ascii="Montserrat" w:cs="Montserrat" w:eastAsia="Montserrat" w:hAnsi="Montserrat"/>
          <w:sz w:val="22"/>
          <w:szCs w:val="22"/>
        </w:rPr>
        <w:t xml:space="preserve">Endereço cadastral da Filial coincidente com prédio onde funciona outra PJ do mesmo controlador (Óticas BH).</w:t>
      </w:r>
    </w:p>
    <w:p>
      <w:pPr>
        <w:pStyle w:val="ListParagraph"/>
        <w:numPr>
          <w:ilvl w:val="0"/>
          <w:numId w:val="1"/>
        </w:numPr>
        <w:spacing w:after="60" w:before="60" w:line="280"/>
      </w:pPr>
      <w:r>
        <w:rPr>
          <w:rFonts w:ascii="Montserrat" w:cs="Montserrat" w:eastAsia="Montserrat" w:hAnsi="Montserrat"/>
          <w:sz w:val="22"/>
          <w:szCs w:val="22"/>
        </w:rPr>
        <w:t xml:space="preserve">Ausência de substância operacional (sem loja, sem funcionários, sem estoque).</w:t>
      </w:r>
    </w:p>
    <w:p>
      <w:pPr>
        <w:pStyle w:val="ListParagraph"/>
        <w:numPr>
          <w:ilvl w:val="0"/>
          <w:numId w:val="1"/>
        </w:numPr>
        <w:spacing w:after="60" w:before="60" w:line="280"/>
      </w:pPr>
      <w:r>
        <w:rPr>
          <w:rFonts w:ascii="Montserrat" w:cs="Montserrat" w:eastAsia="Montserrat" w:hAnsi="Montserrat"/>
          <w:sz w:val="22"/>
          <w:szCs w:val="22"/>
        </w:rPr>
        <w:t xml:space="preserve">Confusão patrimonial — dinheiro em conta de uma PJ pertencendo a outra.</w:t>
      </w:r>
    </w:p>
    <w:p>
      <w:pPr>
        <w:pStyle w:val="ListParagraph"/>
        <w:numPr>
          <w:ilvl w:val="0"/>
          <w:numId w:val="1"/>
        </w:numPr>
        <w:spacing w:after="60" w:before="60" w:line="280"/>
      </w:pPr>
      <w:r>
        <w:rPr>
          <w:rFonts w:ascii="Montserrat" w:cs="Montserrat" w:eastAsia="Montserrat" w:hAnsi="Montserrat"/>
          <w:sz w:val="22"/>
          <w:szCs w:val="22"/>
        </w:rPr>
        <w:t xml:space="preserve">Inexistência de propósito negocial autônomo declarado ou demonstrável (a Filial não foi constituída para atender mercado diferenciado, não tem mix de produto distinto, não tem clientela própria, não tem gestão própria).</w:t>
      </w:r>
    </w:p>
    <w:p>
      <w:pPr>
        <w:pStyle w:val="Heading2"/>
        <w:spacing w:after="140" w:before="280"/>
      </w:pPr>
      <w:r>
        <w:rPr>
          <w:rFonts w:ascii="Montserrat" w:cs="Montserrat" w:eastAsia="Montserrat" w:hAnsi="Montserrat"/>
          <w:b/>
          <w:bCs/>
          <w:color w:val="0D2F3A"/>
          <w:sz w:val="26"/>
          <w:szCs w:val="26"/>
        </w:rPr>
        <w:t xml:space="preserve">3.3. Mecanismo e finalidade</w:t>
      </w:r>
    </w:p>
    <w:p>
      <w:pPr>
        <w:spacing w:after="80" w:before="80" w:line="300"/>
        <w:jc w:val="both"/>
      </w:pPr>
      <w:r>
        <w:rPr>
          <w:rFonts w:ascii="Montserrat" w:cs="Montserrat" w:eastAsia="Montserrat" w:hAnsi="Montserrat"/>
          <w:sz w:val="22"/>
          <w:szCs w:val="22"/>
        </w:rPr>
        <w:t xml:space="preserve">A distribuição da receita entre os 3 CNPJs (Matriz + Filial Proview + Óticas BH) tem por finalidade evitar que qualquer um deles atinja o limite anual de R$ 4.800.000,00 de receita bruta — limite acima do qual a PJ é forçada a migrar do regime do Simples Nacional para Lucro Presumido (ou Lucro Real, conforme atividade).</w:t>
      </w:r>
    </w:p>
    <w:p>
      <w:pPr>
        <w:spacing w:after="80" w:before="80" w:line="300"/>
        <w:jc w:val="both"/>
      </w:pPr>
      <w:r>
        <w:rPr>
          <w:rFonts w:ascii="Montserrat" w:cs="Montserrat" w:eastAsia="Montserrat" w:hAnsi="Montserrat"/>
          <w:sz w:val="22"/>
          <w:szCs w:val="22"/>
        </w:rPr>
        <w:t xml:space="preserve">Na hipótese de unificação contábil da receita real (Matriz + Filial Proview tratadas como uma única operação), o conjunto provavelmente já estaria acima do limite do Simples — e a carga tributária aumentaria substancialmente.</w:t>
      </w:r>
    </w:p>
    <w:p>
      <w:pPr>
        <w:spacing w:after="80" w:before="80" w:line="300"/>
        <w:jc w:val="both"/>
      </w:pPr>
      <w:r>
        <w:rPr>
          <w:rFonts w:ascii="Montserrat" w:cs="Montserrat" w:eastAsia="Montserrat" w:hAnsi="Montserrat"/>
          <w:sz w:val="22"/>
          <w:szCs w:val="22"/>
        </w:rPr>
        <w:t xml:space="preserve">A Óticas BH, embora hoje opere com substância (loja real, funcionários, estoque), foi declaradamente constituída em 2013 com a mesma finalidade tributária (informação confirmada pelo próprio Dr. Haldley em 01/06/2026). Sua exposição é menor que a da Proview, mas não é nula.</w:t>
      </w:r>
    </w:p>
    <w:p>
      <w:pPr>
        <w:pStyle w:val="Heading2"/>
        <w:spacing w:after="140" w:before="280"/>
      </w:pPr>
      <w:r>
        <w:rPr>
          <w:rFonts w:ascii="Montserrat" w:cs="Montserrat" w:eastAsia="Montserrat" w:hAnsi="Montserrat"/>
          <w:b/>
          <w:bCs/>
          <w:color w:val="0D2F3A"/>
          <w:sz w:val="26"/>
          <w:szCs w:val="26"/>
        </w:rPr>
        <w:t xml:space="preserve">3.4. Riscos legais identificados (em ordem decrescente de probabilidade)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9D7D5" w:sz="4"/>
              <w:left w:val="single" w:color="D9D7D5" w:sz="4"/>
              <w:bottom w:val="single" w:color="D9D7D5" w:sz="4"/>
              <w:right w:val="single" w:color="D9D7D5" w:sz="4"/>
            </w:tcBorders>
            <w:shd w:fill="0D2F3A" w:val="clear"/>
            <w:tcMar>
              <w:top w:type="dxa" w:w="120"/>
              <w:left w:type="dxa" w:w="160"/>
              <w:bottom w:type="dxa" w:w="120"/>
              <w:right w:type="dxa" w:w="160"/>
            </w:tcMar>
          </w:tcPr>
          <w:p>
            <w:pPr>
              <w:spacing w:after="0" w:before="0"/>
              <w:jc w:val="left"/>
            </w:pPr>
            <w:r>
              <w:rPr>
                <w:rFonts w:ascii="Montserrat" w:cs="Montserrat" w:eastAsia="Montserrat" w:hAnsi="Montserrat"/>
                <w:b/>
                <w:bCs/>
                <w:color w:val="FFFFFF"/>
                <w:sz w:val="20"/>
                <w:szCs w:val="20"/>
              </w:rPr>
              <w:t xml:space="preserve">#</w:t>
            </w:r>
          </w:p>
        </w:tc>
        <w:tc>
          <w:tcPr>
            <w:tcBorders>
              <w:top w:val="single" w:color="D9D7D5" w:sz="4"/>
              <w:left w:val="single" w:color="D9D7D5" w:sz="4"/>
              <w:bottom w:val="single" w:color="D9D7D5" w:sz="4"/>
              <w:right w:val="single" w:color="D9D7D5" w:sz="4"/>
            </w:tcBorders>
            <w:shd w:fill="0D2F3A" w:val="clear"/>
            <w:tcMar>
              <w:top w:type="dxa" w:w="120"/>
              <w:left w:type="dxa" w:w="160"/>
              <w:bottom w:type="dxa" w:w="120"/>
              <w:right w:type="dxa" w:w="160"/>
            </w:tcMar>
          </w:tcPr>
          <w:p>
            <w:pPr>
              <w:spacing w:after="0" w:before="0"/>
              <w:jc w:val="left"/>
            </w:pPr>
            <w:r>
              <w:rPr>
                <w:rFonts w:ascii="Montserrat" w:cs="Montserrat" w:eastAsia="Montserrat" w:hAnsi="Montserrat"/>
                <w:b/>
                <w:bCs/>
                <w:color w:val="FFFFFF"/>
                <w:sz w:val="20"/>
                <w:szCs w:val="20"/>
              </w:rPr>
              <w:t xml:space="preserve">Risco</w:t>
            </w:r>
          </w:p>
        </w:tc>
        <w:tc>
          <w:tcPr>
            <w:tcBorders>
              <w:top w:val="single" w:color="D9D7D5" w:sz="4"/>
              <w:left w:val="single" w:color="D9D7D5" w:sz="4"/>
              <w:bottom w:val="single" w:color="D9D7D5" w:sz="4"/>
              <w:right w:val="single" w:color="D9D7D5" w:sz="4"/>
            </w:tcBorders>
            <w:shd w:fill="0D2F3A" w:val="clear"/>
            <w:tcMar>
              <w:top w:type="dxa" w:w="120"/>
              <w:left w:type="dxa" w:w="160"/>
              <w:bottom w:type="dxa" w:w="120"/>
              <w:right w:type="dxa" w:w="160"/>
            </w:tcMar>
          </w:tcPr>
          <w:p>
            <w:pPr>
              <w:spacing w:after="0" w:before="0"/>
              <w:jc w:val="left"/>
            </w:pPr>
            <w:r>
              <w:rPr>
                <w:rFonts w:ascii="Montserrat" w:cs="Montserrat" w:eastAsia="Montserrat" w:hAnsi="Montserrat"/>
                <w:b/>
                <w:bCs/>
                <w:color w:val="FFFFFF"/>
                <w:sz w:val="20"/>
                <w:szCs w:val="20"/>
              </w:rPr>
              <w:t xml:space="preserve">Base legal</w:t>
            </w:r>
          </w:p>
        </w:tc>
      </w:tr>
      <w:tr>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1</w:t>
            </w:r>
          </w:p>
        </w:tc>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Desconsideração da PJ Filial pela Receita Federal, com soma da sua receita à da Matriz — Matriz extrapola limite do Simples retroativamente, é reenquadrada em Lucro Presumido (ou Lucro Real) com recálculo de tributo devido nos últimos 5 anos.</w:t>
            </w:r>
          </w:p>
        </w:tc>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CTN art. 116 §ún · LC 123/2006 art. 3º</w:t>
            </w:r>
          </w:p>
        </w:tc>
      </w:tr>
      <w:tr>
        <w:tc>
          <w:tcPr>
            <w:tcBorders>
              <w:top w:val="single" w:color="D9D7D5" w:sz="4"/>
              <w:left w:val="single" w:color="D9D7D5" w:sz="4"/>
              <w:bottom w:val="single" w:color="D9D7D5" w:sz="4"/>
              <w:right w:val="single" w:color="D9D7D5" w:sz="4"/>
            </w:tcBorders>
            <w:shd w:fill="FFFFF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2</w:t>
            </w:r>
          </w:p>
        </w:tc>
        <w:tc>
          <w:tcPr>
            <w:tcBorders>
              <w:top w:val="single" w:color="D9D7D5" w:sz="4"/>
              <w:left w:val="single" w:color="D9D7D5" w:sz="4"/>
              <w:bottom w:val="single" w:color="D9D7D5" w:sz="4"/>
              <w:right w:val="single" w:color="D9D7D5" w:sz="4"/>
            </w:tcBorders>
            <w:shd w:fill="FFFFF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Aplicação de multa qualificada (150%) sobre o imposto recolhido a menor, por caracterização de fraude/sonegação.</w:t>
            </w:r>
          </w:p>
        </w:tc>
        <w:tc>
          <w:tcPr>
            <w:tcBorders>
              <w:top w:val="single" w:color="D9D7D5" w:sz="4"/>
              <w:left w:val="single" w:color="D9D7D5" w:sz="4"/>
              <w:bottom w:val="single" w:color="D9D7D5" w:sz="4"/>
              <w:right w:val="single" w:color="D9D7D5" w:sz="4"/>
            </w:tcBorders>
            <w:shd w:fill="FFFFF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Lei 9.430/96 art. 44 §1º</w:t>
            </w:r>
          </w:p>
        </w:tc>
      </w:tr>
      <w:tr>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3</w:t>
            </w:r>
          </w:p>
        </w:tc>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Movimento análogo da SEFAZ-MG no ICMS — desconsideração para fins de ICMS-MG, mudança de regime para Estimativa ou Real.</w:t>
            </w:r>
          </w:p>
        </w:tc>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RICMS-MG · LC 123/2006</w:t>
            </w:r>
          </w:p>
        </w:tc>
      </w:tr>
      <w:tr>
        <w:tc>
          <w:tcPr>
            <w:tcBorders>
              <w:top w:val="single" w:color="D9D7D5" w:sz="4"/>
              <w:left w:val="single" w:color="D9D7D5" w:sz="4"/>
              <w:bottom w:val="single" w:color="D9D7D5" w:sz="4"/>
              <w:right w:val="single" w:color="D9D7D5" w:sz="4"/>
            </w:tcBorders>
            <w:shd w:fill="FFFFF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4</w:t>
            </w:r>
          </w:p>
        </w:tc>
        <w:tc>
          <w:tcPr>
            <w:tcBorders>
              <w:top w:val="single" w:color="D9D7D5" w:sz="4"/>
              <w:left w:val="single" w:color="D9D7D5" w:sz="4"/>
              <w:bottom w:val="single" w:color="D9D7D5" w:sz="4"/>
              <w:right w:val="single" w:color="D9D7D5" w:sz="4"/>
            </w:tcBorders>
            <w:shd w:fill="FFFFF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Possível extensão da desconsideração à Óticas BH, pelo precedente da Filial e pela origem documentadamente tributária da sua constituição.</w:t>
            </w:r>
          </w:p>
        </w:tc>
        <w:tc>
          <w:tcPr>
            <w:tcBorders>
              <w:top w:val="single" w:color="D9D7D5" w:sz="4"/>
              <w:left w:val="single" w:color="D9D7D5" w:sz="4"/>
              <w:bottom w:val="single" w:color="D9D7D5" w:sz="4"/>
              <w:right w:val="single" w:color="D9D7D5" w:sz="4"/>
            </w:tcBorders>
            <w:shd w:fill="FFFFF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CTN art. 116 §ún</w:t>
            </w:r>
          </w:p>
        </w:tc>
      </w:tr>
      <w:tr>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5</w:t>
            </w:r>
          </w:p>
        </w:tc>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Tipificação como crime contra a ordem tributária — improvável em primeiro auto de infração, possível em reincidência ou em volumes materialmente relevantes.</w:t>
            </w:r>
          </w:p>
        </w:tc>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Lei 8.137/90 art. 1º, II</w:t>
            </w:r>
          </w:p>
        </w:tc>
      </w:tr>
    </w:tbl>
    <w:p>
      <w:pPr>
        <w:pStyle w:val="Heading1"/>
        <w:spacing w:after="200" w:before="360"/>
      </w:pPr>
      <w:r>
        <w:rPr>
          <w:rFonts w:ascii="Montserrat" w:cs="Montserrat" w:eastAsia="Montserrat" w:hAnsi="Montserrat"/>
          <w:b/>
          <w:bCs/>
          <w:color w:val="0D2F3A"/>
          <w:sz w:val="32"/>
          <w:szCs w:val="32"/>
        </w:rPr>
        <w:t xml:space="preserve">4. Achado #2 — Comissões a vendedores por adiantamento sem registro formal</w:t>
      </w:r>
    </w:p>
    <w:p>
      <w:pPr>
        <w:pStyle w:val="Heading2"/>
        <w:spacing w:after="140" w:before="280"/>
      </w:pPr>
      <w:r>
        <w:rPr>
          <w:rFonts w:ascii="Montserrat" w:cs="Montserrat" w:eastAsia="Montserrat" w:hAnsi="Montserrat"/>
          <w:b/>
          <w:bCs/>
          <w:color w:val="0D2F3A"/>
          <w:sz w:val="26"/>
          <w:szCs w:val="26"/>
        </w:rPr>
        <w:t xml:space="preserve">4.1. Fatos observados</w:t>
      </w:r>
    </w:p>
    <w:p>
      <w:pPr>
        <w:spacing w:after="80" w:before="80" w:line="300"/>
        <w:jc w:val="both"/>
      </w:pPr>
      <w:r>
        <w:rPr>
          <w:rFonts w:ascii="Montserrat" w:cs="Montserrat" w:eastAsia="Montserrat" w:hAnsi="Montserrat"/>
          <w:sz w:val="22"/>
          <w:szCs w:val="22"/>
        </w:rPr>
        <w:t xml:space="preserve">Em conversa com Wesley Amaral em 02/06/2026, com base em relato do próprio Dr. Haldley sobre prática operacional, observou-se que:</w:t>
      </w:r>
    </w:p>
    <w:p>
      <w:pPr>
        <w:pStyle w:val="ListParagraph"/>
        <w:numPr>
          <w:ilvl w:val="0"/>
          <w:numId w:val="1"/>
        </w:numPr>
        <w:spacing w:after="60" w:before="60" w:line="280"/>
      </w:pPr>
      <w:r>
        <w:rPr>
          <w:rFonts w:ascii="Montserrat" w:cs="Montserrat" w:eastAsia="Montserrat" w:hAnsi="Montserrat"/>
          <w:sz w:val="22"/>
          <w:szCs w:val="22"/>
        </w:rPr>
        <w:t xml:space="preserve">Vendedores do grupo recebem </w:t>
      </w:r>
      <w:r>
        <w:rPr>
          <w:rFonts w:ascii="Montserrat" w:cs="Montserrat" w:eastAsia="Montserrat" w:hAnsi="Montserrat"/>
          <w:b/>
          <w:bCs/>
          <w:sz w:val="22"/>
          <w:szCs w:val="22"/>
        </w:rPr>
        <w:t xml:space="preserve">comissão sobre as vendas realizadas</w:t>
      </w:r>
      <w:r>
        <w:rPr>
          <w:rFonts w:ascii="Montserrat" w:cs="Montserrat" w:eastAsia="Montserrat" w:hAnsi="Montserrat"/>
          <w:sz w:val="22"/>
          <w:szCs w:val="22"/>
        </w:rPr>
        <w:t xml:space="preserve">, em paralelo ao salário fixo registrado em folha.</w:t>
      </w:r>
    </w:p>
    <w:p>
      <w:pPr>
        <w:pStyle w:val="ListParagraph"/>
        <w:numPr>
          <w:ilvl w:val="0"/>
          <w:numId w:val="1"/>
        </w:numPr>
        <w:spacing w:after="60" w:before="60" w:line="280"/>
      </w:pPr>
      <w:r>
        <w:rPr>
          <w:rFonts w:ascii="Montserrat" w:cs="Montserrat" w:eastAsia="Montserrat" w:hAnsi="Montserrat"/>
          <w:sz w:val="22"/>
          <w:szCs w:val="22"/>
        </w:rPr>
        <w:t xml:space="preserve">A comissão é paga por mecanismo de </w:t>
      </w:r>
      <w:r>
        <w:rPr>
          <w:rFonts w:ascii="Montserrat" w:cs="Montserrat" w:eastAsia="Montserrat" w:hAnsi="Montserrat"/>
          <w:b/>
          <w:bCs/>
          <w:sz w:val="22"/>
          <w:szCs w:val="22"/>
        </w:rPr>
        <w:t xml:space="preserve">"adiantamento" — recurso entregue ao vendedor</w:t>
      </w:r>
      <w:r>
        <w:rPr>
          <w:rFonts w:ascii="Montserrat" w:cs="Montserrat" w:eastAsia="Montserrat" w:hAnsi="Montserrat"/>
          <w:sz w:val="22"/>
          <w:szCs w:val="22"/>
        </w:rPr>
        <w:t xml:space="preserve"> sem que haja registro formal correspondente em folha de pagamento, recibo de salário ou rubrica fiscal específica.</w:t>
      </w:r>
    </w:p>
    <w:p>
      <w:pPr>
        <w:pStyle w:val="ListParagraph"/>
        <w:numPr>
          <w:ilvl w:val="0"/>
          <w:numId w:val="1"/>
        </w:numPr>
        <w:spacing w:after="60" w:before="60" w:line="280"/>
      </w:pPr>
      <w:r>
        <w:rPr>
          <w:rFonts w:ascii="Montserrat" w:cs="Montserrat" w:eastAsia="Montserrat" w:hAnsi="Montserrat"/>
          <w:sz w:val="22"/>
          <w:szCs w:val="22"/>
        </w:rPr>
        <w:t xml:space="preserve">A documentação de controle interno aparenta limitar-se a controles paralelos (planilha, caderno, escaninho), sem trânsito por folha ou por contabilidade formal.</w:t>
      </w:r>
    </w:p>
    <w:p>
      <w:pPr>
        <w:pStyle w:val="Heading2"/>
        <w:spacing w:after="140" w:before="280"/>
      </w:pPr>
      <w:r>
        <w:rPr>
          <w:rFonts w:ascii="Montserrat" w:cs="Montserrat" w:eastAsia="Montserrat" w:hAnsi="Montserrat"/>
          <w:b/>
          <w:bCs/>
          <w:color w:val="0D2F3A"/>
          <w:sz w:val="26"/>
          <w:szCs w:val="26"/>
        </w:rPr>
        <w:t xml:space="preserve">4.2. Caracterização técnica</w:t>
      </w:r>
    </w:p>
    <w:p>
      <w:pPr>
        <w:spacing w:after="80" w:before="80" w:line="300"/>
        <w:jc w:val="both"/>
      </w:pPr>
      <w:r>
        <w:rPr>
          <w:rFonts w:ascii="Montserrat" w:cs="Montserrat" w:eastAsia="Montserrat" w:hAnsi="Montserrat"/>
          <w:sz w:val="22"/>
          <w:szCs w:val="22"/>
        </w:rPr>
        <w:t xml:space="preserve">A prática descrita configura, em análise técnica preliminar:</w:t>
      </w:r>
    </w:p>
    <w:p>
      <w:pPr>
        <w:pStyle w:val="ListParagraph"/>
        <w:numPr>
          <w:ilvl w:val="0"/>
          <w:numId w:val="1"/>
        </w:numPr>
        <w:spacing w:after="60" w:before="60" w:line="280"/>
      </w:pPr>
      <w:r>
        <w:rPr>
          <w:rFonts w:ascii="Montserrat" w:cs="Montserrat" w:eastAsia="Montserrat" w:hAnsi="Montserrat"/>
          <w:b/>
          <w:bCs/>
          <w:sz w:val="22"/>
          <w:szCs w:val="22"/>
        </w:rPr>
        <w:t xml:space="preserve">Pagamento de remuneração sem registro em folha</w:t>
      </w:r>
      <w:r>
        <w:rPr>
          <w:rFonts w:ascii="Montserrat" w:cs="Montserrat" w:eastAsia="Montserrat" w:hAnsi="Montserrat"/>
          <w:sz w:val="22"/>
          <w:szCs w:val="22"/>
        </w:rPr>
        <w:t xml:space="preserve"> — descumprimento das obrigações trabalhistas previstas na CLT (art. 458 e seguintes) e nas obrigações fiscais previdenciárias (Lei 8.212/91).</w:t>
      </w:r>
    </w:p>
    <w:p>
      <w:pPr>
        <w:pStyle w:val="ListParagraph"/>
        <w:numPr>
          <w:ilvl w:val="0"/>
          <w:numId w:val="1"/>
        </w:numPr>
        <w:spacing w:after="60" w:before="60" w:line="280"/>
      </w:pPr>
      <w:r>
        <w:rPr>
          <w:rFonts w:ascii="Montserrat" w:cs="Montserrat" w:eastAsia="Montserrat" w:hAnsi="Montserrat"/>
          <w:b/>
          <w:bCs/>
          <w:sz w:val="22"/>
          <w:szCs w:val="22"/>
        </w:rPr>
        <w:t xml:space="preserve">Sonegação previdenciária (INSS patronal de 20% + GIIL-RAT + Sistema S) </w:t>
      </w:r>
      <w:r>
        <w:rPr>
          <w:rFonts w:ascii="Montserrat" w:cs="Montserrat" w:eastAsia="Montserrat" w:hAnsi="Montserrat"/>
          <w:sz w:val="22"/>
          <w:szCs w:val="22"/>
        </w:rPr>
        <w:t xml:space="preserve">sobre a parcela da comissão paga em adiantamento off-folha.</w:t>
      </w:r>
    </w:p>
    <w:p>
      <w:pPr>
        <w:pStyle w:val="ListParagraph"/>
        <w:numPr>
          <w:ilvl w:val="0"/>
          <w:numId w:val="1"/>
        </w:numPr>
        <w:spacing w:after="60" w:before="60" w:line="280"/>
      </w:pPr>
      <w:r>
        <w:rPr>
          <w:rFonts w:ascii="Montserrat" w:cs="Montserrat" w:eastAsia="Montserrat" w:hAnsi="Montserrat"/>
          <w:b/>
          <w:bCs/>
          <w:sz w:val="22"/>
          <w:szCs w:val="22"/>
        </w:rPr>
        <w:t xml:space="preserve">Sonegação de IRRF </w:t>
      </w:r>
      <w:r>
        <w:rPr>
          <w:rFonts w:ascii="Montserrat" w:cs="Montserrat" w:eastAsia="Montserrat" w:hAnsi="Montserrat"/>
          <w:sz w:val="22"/>
          <w:szCs w:val="22"/>
        </w:rPr>
        <w:t xml:space="preserve">na fonte sobre a parcela paga ao vendedor (descumprimento do art. 7º da Lei 7.713/88).</w:t>
      </w:r>
    </w:p>
    <w:p>
      <w:pPr>
        <w:pStyle w:val="ListParagraph"/>
        <w:numPr>
          <w:ilvl w:val="0"/>
          <w:numId w:val="1"/>
        </w:numPr>
        <w:spacing w:after="60" w:before="60" w:line="280"/>
      </w:pPr>
      <w:r>
        <w:rPr>
          <w:rFonts w:ascii="Montserrat" w:cs="Montserrat" w:eastAsia="Montserrat" w:hAnsi="Montserrat"/>
          <w:b/>
          <w:bCs/>
          <w:sz w:val="22"/>
          <w:szCs w:val="22"/>
        </w:rPr>
        <w:t xml:space="preserve">Sonegação de FGTS </w:t>
      </w:r>
      <w:r>
        <w:rPr>
          <w:rFonts w:ascii="Montserrat" w:cs="Montserrat" w:eastAsia="Montserrat" w:hAnsi="Montserrat"/>
          <w:sz w:val="22"/>
          <w:szCs w:val="22"/>
        </w:rPr>
        <w:t xml:space="preserve">(8% sobre a comissão off-folha).</w:t>
      </w:r>
    </w:p>
    <w:p>
      <w:pPr>
        <w:pStyle w:val="ListParagraph"/>
        <w:numPr>
          <w:ilvl w:val="0"/>
          <w:numId w:val="1"/>
        </w:numPr>
        <w:spacing w:after="60" w:before="60" w:line="280"/>
      </w:pPr>
      <w:r>
        <w:rPr>
          <w:rFonts w:ascii="Montserrat" w:cs="Montserrat" w:eastAsia="Montserrat" w:hAnsi="Montserrat"/>
          <w:b/>
          <w:bCs/>
          <w:sz w:val="22"/>
          <w:szCs w:val="22"/>
        </w:rPr>
        <w:t xml:space="preserve">Exposição trabalhista direta </w:t>
      </w:r>
      <w:r>
        <w:rPr>
          <w:rFonts w:ascii="Montserrat" w:cs="Montserrat" w:eastAsia="Montserrat" w:hAnsi="Montserrat"/>
          <w:sz w:val="22"/>
          <w:szCs w:val="22"/>
        </w:rPr>
        <w:t xml:space="preserve">— qualquer ação trabalhista de vendedor desligado pode levar ao reconhecimento da parcela como salário disfarçado, com reflexos em férias + 1/3, 13º, FGTS + 40%, INSS e demais verbas — frequentemente com multa do art. 467 e/ou 477 da CLT.</w:t>
      </w:r>
    </w:p>
    <w:p>
      <w:pPr>
        <w:pStyle w:val="Heading2"/>
        <w:spacing w:after="140" w:before="280"/>
      </w:pPr>
      <w:r>
        <w:rPr>
          <w:rFonts w:ascii="Montserrat" w:cs="Montserrat" w:eastAsia="Montserrat" w:hAnsi="Montserrat"/>
          <w:b/>
          <w:bCs/>
          <w:color w:val="0D2F3A"/>
          <w:sz w:val="26"/>
          <w:szCs w:val="26"/>
        </w:rPr>
        <w:t xml:space="preserve">4.3. Riscos legais identificados (em ordem decrescente de probabilidade)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D9D7D5" w:sz="4"/>
              <w:left w:val="single" w:color="D9D7D5" w:sz="4"/>
              <w:bottom w:val="single" w:color="D9D7D5" w:sz="4"/>
              <w:right w:val="single" w:color="D9D7D5" w:sz="4"/>
            </w:tcBorders>
            <w:shd w:fill="0D2F3A" w:val="clear"/>
            <w:tcMar>
              <w:top w:type="dxa" w:w="120"/>
              <w:left w:type="dxa" w:w="160"/>
              <w:bottom w:type="dxa" w:w="120"/>
              <w:right w:type="dxa" w:w="160"/>
            </w:tcMar>
          </w:tcPr>
          <w:p>
            <w:pPr>
              <w:spacing w:after="0" w:before="0"/>
              <w:jc w:val="left"/>
            </w:pPr>
            <w:r>
              <w:rPr>
                <w:rFonts w:ascii="Montserrat" w:cs="Montserrat" w:eastAsia="Montserrat" w:hAnsi="Montserrat"/>
                <w:b/>
                <w:bCs/>
                <w:color w:val="FFFFFF"/>
                <w:sz w:val="20"/>
                <w:szCs w:val="20"/>
              </w:rPr>
              <w:t xml:space="preserve">#</w:t>
            </w:r>
          </w:p>
        </w:tc>
        <w:tc>
          <w:tcPr>
            <w:tcBorders>
              <w:top w:val="single" w:color="D9D7D5" w:sz="4"/>
              <w:left w:val="single" w:color="D9D7D5" w:sz="4"/>
              <w:bottom w:val="single" w:color="D9D7D5" w:sz="4"/>
              <w:right w:val="single" w:color="D9D7D5" w:sz="4"/>
            </w:tcBorders>
            <w:shd w:fill="0D2F3A" w:val="clear"/>
            <w:tcMar>
              <w:top w:type="dxa" w:w="120"/>
              <w:left w:type="dxa" w:w="160"/>
              <w:bottom w:type="dxa" w:w="120"/>
              <w:right w:type="dxa" w:w="160"/>
            </w:tcMar>
          </w:tcPr>
          <w:p>
            <w:pPr>
              <w:spacing w:after="0" w:before="0"/>
              <w:jc w:val="left"/>
            </w:pPr>
            <w:r>
              <w:rPr>
                <w:rFonts w:ascii="Montserrat" w:cs="Montserrat" w:eastAsia="Montserrat" w:hAnsi="Montserrat"/>
                <w:b/>
                <w:bCs/>
                <w:color w:val="FFFFFF"/>
                <w:sz w:val="20"/>
                <w:szCs w:val="20"/>
              </w:rPr>
              <w:t xml:space="preserve">Risco</w:t>
            </w:r>
          </w:p>
        </w:tc>
        <w:tc>
          <w:tcPr>
            <w:tcBorders>
              <w:top w:val="single" w:color="D9D7D5" w:sz="4"/>
              <w:left w:val="single" w:color="D9D7D5" w:sz="4"/>
              <w:bottom w:val="single" w:color="D9D7D5" w:sz="4"/>
              <w:right w:val="single" w:color="D9D7D5" w:sz="4"/>
            </w:tcBorders>
            <w:shd w:fill="0D2F3A" w:val="clear"/>
            <w:tcMar>
              <w:top w:type="dxa" w:w="120"/>
              <w:left w:type="dxa" w:w="160"/>
              <w:bottom w:type="dxa" w:w="120"/>
              <w:right w:type="dxa" w:w="160"/>
            </w:tcMar>
          </w:tcPr>
          <w:p>
            <w:pPr>
              <w:spacing w:after="0" w:before="0"/>
              <w:jc w:val="left"/>
            </w:pPr>
            <w:r>
              <w:rPr>
                <w:rFonts w:ascii="Montserrat" w:cs="Montserrat" w:eastAsia="Montserrat" w:hAnsi="Montserrat"/>
                <w:b/>
                <w:bCs/>
                <w:color w:val="FFFFFF"/>
                <w:sz w:val="20"/>
                <w:szCs w:val="20"/>
              </w:rPr>
              <w:t xml:space="preserve">Base legal</w:t>
            </w:r>
          </w:p>
        </w:tc>
      </w:tr>
      <w:tr>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1</w:t>
            </w:r>
          </w:p>
        </w:tc>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Ação trabalhista individual com pedido de reconhecimento da comissão off-folha — reflexos em verbas rescisórias, 13º, férias, FGTS, INSS.</w:t>
            </w:r>
          </w:p>
        </w:tc>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CLT art. 457, 458 · Súmula 264 TST</w:t>
            </w:r>
          </w:p>
        </w:tc>
      </w:tr>
      <w:tr>
        <w:tc>
          <w:tcPr>
            <w:tcBorders>
              <w:top w:val="single" w:color="D9D7D5" w:sz="4"/>
              <w:left w:val="single" w:color="D9D7D5" w:sz="4"/>
              <w:bottom w:val="single" w:color="D9D7D5" w:sz="4"/>
              <w:right w:val="single" w:color="D9D7D5" w:sz="4"/>
            </w:tcBorders>
            <w:shd w:fill="FFFFF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2</w:t>
            </w:r>
          </w:p>
        </w:tc>
        <w:tc>
          <w:tcPr>
            <w:tcBorders>
              <w:top w:val="single" w:color="D9D7D5" w:sz="4"/>
              <w:left w:val="single" w:color="D9D7D5" w:sz="4"/>
              <w:bottom w:val="single" w:color="D9D7D5" w:sz="4"/>
              <w:right w:val="single" w:color="D9D7D5" w:sz="4"/>
            </w:tcBorders>
            <w:shd w:fill="FFFFF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Auto de infração da Receita Federal por sonegação de INSS patronal sobre a comissão off-folha (5 anos retroativos).</w:t>
            </w:r>
          </w:p>
        </w:tc>
        <w:tc>
          <w:tcPr>
            <w:tcBorders>
              <w:top w:val="single" w:color="D9D7D5" w:sz="4"/>
              <w:left w:val="single" w:color="D9D7D5" w:sz="4"/>
              <w:bottom w:val="single" w:color="D9D7D5" w:sz="4"/>
              <w:right w:val="single" w:color="D9D7D5" w:sz="4"/>
            </w:tcBorders>
            <w:shd w:fill="FFFFF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Lei 8.212/91 · CTN art. 173</w:t>
            </w:r>
          </w:p>
        </w:tc>
      </w:tr>
      <w:tr>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3</w:t>
            </w:r>
          </w:p>
        </w:tc>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Auto de infração por sonegação de IRRF e descumprimento da obrigação acessória (e-Social, DCTFWeb).</w:t>
            </w:r>
          </w:p>
        </w:tc>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Lei 7.713/88 · IN RFB 2.005/2021</w:t>
            </w:r>
          </w:p>
        </w:tc>
      </w:tr>
      <w:tr>
        <w:tc>
          <w:tcPr>
            <w:tcBorders>
              <w:top w:val="single" w:color="D9D7D5" w:sz="4"/>
              <w:left w:val="single" w:color="D9D7D5" w:sz="4"/>
              <w:bottom w:val="single" w:color="D9D7D5" w:sz="4"/>
              <w:right w:val="single" w:color="D9D7D5" w:sz="4"/>
            </w:tcBorders>
            <w:shd w:fill="FFFFF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4</w:t>
            </w:r>
          </w:p>
        </w:tc>
        <w:tc>
          <w:tcPr>
            <w:tcBorders>
              <w:top w:val="single" w:color="D9D7D5" w:sz="4"/>
              <w:left w:val="single" w:color="D9D7D5" w:sz="4"/>
              <w:bottom w:val="single" w:color="D9D7D5" w:sz="4"/>
              <w:right w:val="single" w:color="D9D7D5" w:sz="4"/>
            </w:tcBorders>
            <w:shd w:fill="FFFFF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Auto de infração do Ministério do Trabalho — multa por irregularidade em folha e por inexistência de comprovante de pagamento.</w:t>
            </w:r>
          </w:p>
        </w:tc>
        <w:tc>
          <w:tcPr>
            <w:tcBorders>
              <w:top w:val="single" w:color="D9D7D5" w:sz="4"/>
              <w:left w:val="single" w:color="D9D7D5" w:sz="4"/>
              <w:bottom w:val="single" w:color="D9D7D5" w:sz="4"/>
              <w:right w:val="single" w:color="D9D7D5" w:sz="4"/>
            </w:tcBorders>
            <w:shd w:fill="FFFFF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CLT art. 510 e 627</w:t>
            </w:r>
          </w:p>
        </w:tc>
      </w:tr>
      <w:tr>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5</w:t>
            </w:r>
          </w:p>
        </w:tc>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Em caso de fiscalização concomitante com o Achado #1 — agravamento da situação por padrão sistêmico de informalidade.</w:t>
            </w:r>
          </w:p>
        </w:tc>
        <w:tc>
          <w:tcPr>
            <w:tcBorders>
              <w:top w:val="single" w:color="D9D7D5" w:sz="4"/>
              <w:left w:val="single" w:color="D9D7D5" w:sz="4"/>
              <w:bottom w:val="single" w:color="D9D7D5" w:sz="4"/>
              <w:right w:val="single" w:color="D9D7D5" w:sz="4"/>
            </w:tcBorders>
            <w:shd w:fill="F2F0EF" w:val="clear"/>
            <w:tcMar>
              <w:top w:type="dxa" w:w="120"/>
              <w:left w:type="dxa" w:w="160"/>
              <w:bottom w:type="dxa" w:w="120"/>
              <w:right w:type="dxa" w:w="160"/>
            </w:tcMar>
          </w:tcPr>
          <w:p>
            <w:pPr>
              <w:spacing w:after="0" w:before="0"/>
              <w:jc w:val="left"/>
            </w:pPr>
            <w:r>
              <w:rPr>
                <w:rFonts w:ascii="Montserrat" w:cs="Montserrat" w:eastAsia="Montserrat" w:hAnsi="Montserrat"/>
                <w:color w:val="0D2F3A"/>
                <w:sz w:val="20"/>
                <w:szCs w:val="20"/>
              </w:rPr>
              <w:t xml:space="preserve">—</w:t>
            </w:r>
          </w:p>
        </w:tc>
      </w:tr>
    </w:tbl>
    <w:p>
      <w:pPr>
        <w:pStyle w:val="Heading1"/>
        <w:spacing w:after="200" w:before="360"/>
      </w:pPr>
      <w:r>
        <w:rPr>
          <w:rFonts w:ascii="Montserrat" w:cs="Montserrat" w:eastAsia="Montserrat" w:hAnsi="Montserrat"/>
          <w:b/>
          <w:bCs/>
          <w:color w:val="0D2F3A"/>
          <w:sz w:val="32"/>
          <w:szCs w:val="32"/>
        </w:rPr>
        <w:t xml:space="preserve">5. Posicionamento da Marco Zero</w:t>
      </w:r>
    </w:p>
    <w:p>
      <w:pPr>
        <w:pStyle w:val="Heading2"/>
        <w:spacing w:after="140" w:before="280"/>
      </w:pPr>
      <w:r>
        <w:rPr>
          <w:rFonts w:ascii="Montserrat" w:cs="Montserrat" w:eastAsia="Montserrat" w:hAnsi="Montserrat"/>
          <w:b/>
          <w:bCs/>
          <w:color w:val="0D2F3A"/>
          <w:sz w:val="26"/>
          <w:szCs w:val="26"/>
        </w:rPr>
        <w:t xml:space="preserve">5.1. O que vamos fazer</w:t>
      </w:r>
    </w:p>
    <w:p>
      <w:pPr>
        <w:pStyle w:val="ListParagraph"/>
        <w:numPr>
          <w:ilvl w:val="0"/>
          <w:numId w:val="1"/>
        </w:numPr>
        <w:spacing w:after="60" w:before="60" w:line="280"/>
      </w:pPr>
      <w:r>
        <w:rPr>
          <w:rFonts w:ascii="Montserrat" w:cs="Montserrat" w:eastAsia="Montserrat" w:hAnsi="Montserrat"/>
          <w:b/>
          <w:bCs/>
          <w:sz w:val="22"/>
          <w:szCs w:val="22"/>
        </w:rPr>
        <w:t xml:space="preserve">Cumprir o contrato como assinado nos valores e prazos pactuados</w:t>
      </w:r>
      <w:r>
        <w:rPr>
          <w:rFonts w:ascii="Montserrat" w:cs="Montserrat" w:eastAsia="Montserrat" w:hAnsi="Montserrat"/>
          <w:sz w:val="22"/>
          <w:szCs w:val="22"/>
        </w:rPr>
        <w:t xml:space="preserve"> (R$ 60.000, 12 meses), sem aditivo ou renegociação.</w:t>
      </w:r>
    </w:p>
    <w:p>
      <w:pPr>
        <w:pStyle w:val="ListParagraph"/>
        <w:numPr>
          <w:ilvl w:val="0"/>
          <w:numId w:val="1"/>
        </w:numPr>
        <w:spacing w:after="60" w:before="60" w:line="280"/>
      </w:pPr>
      <w:r>
        <w:rPr>
          <w:rFonts w:ascii="Montserrat" w:cs="Montserrat" w:eastAsia="Montserrat" w:hAnsi="Montserrat"/>
          <w:b/>
          <w:bCs/>
          <w:sz w:val="22"/>
          <w:szCs w:val="22"/>
        </w:rPr>
        <w:t xml:space="preserve">Estender operacionalmente o atendimento às 3 inscrições do grupo</w:t>
      </w:r>
      <w:r>
        <w:rPr>
          <w:rFonts w:ascii="Montserrat" w:cs="Montserrat" w:eastAsia="Montserrat" w:hAnsi="Montserrat"/>
          <w:sz w:val="22"/>
          <w:szCs w:val="22"/>
        </w:rPr>
        <w:t xml:space="preserve"> (Matriz Luminis, Filial Proview e Óticas BH), sem cobrança adicional — gesto de boa-fé profissional que preserva a relação institucional.</w:t>
      </w:r>
    </w:p>
    <w:p>
      <w:pPr>
        <w:pStyle w:val="ListParagraph"/>
        <w:numPr>
          <w:ilvl w:val="0"/>
          <w:numId w:val="1"/>
        </w:numPr>
        <w:spacing w:after="60" w:before="60" w:line="280"/>
      </w:pPr>
      <w:r>
        <w:rPr>
          <w:rFonts w:ascii="Montserrat" w:cs="Montserrat" w:eastAsia="Montserrat" w:hAnsi="Montserrat"/>
          <w:b/>
          <w:bCs/>
          <w:sz w:val="22"/>
          <w:szCs w:val="22"/>
        </w:rPr>
        <w:t xml:space="preserve">Tratar a análise gerencial da PJ Óticas Mais (raiz 07.843.328) consolidando Matriz + Filial</w:t>
      </w:r>
      <w:r>
        <w:rPr>
          <w:rFonts w:ascii="Montserrat" w:cs="Montserrat" w:eastAsia="Montserrat" w:hAnsi="Montserrat"/>
          <w:sz w:val="22"/>
          <w:szCs w:val="22"/>
        </w:rPr>
        <w:t xml:space="preserve"> — receita, caixa, estoque, margem. Não é "consolidação" no sentido contábil de juntar empresas distintas: é a leitura natural da própria PJ, que tem dois estabelecimentos. A diferença é que essa leitura reflete a realidade econômica (toda a operação física existe na Matriz), eliminando a distorção da alocação contábil para a Filial.</w:t>
      </w:r>
    </w:p>
    <w:p>
      <w:pPr>
        <w:pStyle w:val="ListParagraph"/>
        <w:numPr>
          <w:ilvl w:val="0"/>
          <w:numId w:val="1"/>
        </w:numPr>
        <w:spacing w:after="60" w:before="60" w:line="280"/>
      </w:pPr>
      <w:r>
        <w:rPr>
          <w:rFonts w:ascii="Montserrat" w:cs="Montserrat" w:eastAsia="Montserrat" w:hAnsi="Montserrat"/>
          <w:b/>
          <w:bCs/>
          <w:sz w:val="22"/>
          <w:szCs w:val="22"/>
        </w:rPr>
        <w:t xml:space="preserve">Analisar a Óticas BH como segunda PJ real</w:t>
      </w:r>
      <w:r>
        <w:rPr>
          <w:rFonts w:ascii="Montserrat" w:cs="Montserrat" w:eastAsia="Montserrat" w:hAnsi="Montserrat"/>
          <w:sz w:val="22"/>
          <w:szCs w:val="22"/>
        </w:rPr>
        <w:t xml:space="preserve"> (mesmo controlador, mas operação distinta). Apresentar resultados em metodologia de 3 níveis: Mais consolidada / BH / Grupo.</w:t>
      </w:r>
    </w:p>
    <w:p>
      <w:pPr>
        <w:pStyle w:val="ListParagraph"/>
        <w:numPr>
          <w:ilvl w:val="0"/>
          <w:numId w:val="1"/>
        </w:numPr>
        <w:spacing w:after="60" w:before="60" w:line="280"/>
      </w:pPr>
      <w:r>
        <w:rPr>
          <w:rFonts w:ascii="Montserrat" w:cs="Montserrat" w:eastAsia="Montserrat" w:hAnsi="Montserrat"/>
          <w:b/>
          <w:bCs/>
          <w:sz w:val="22"/>
          <w:szCs w:val="22"/>
        </w:rPr>
        <w:t xml:space="preserve">Documentar internamente cada achado material </w:t>
      </w:r>
      <w:r>
        <w:rPr>
          <w:rFonts w:ascii="Montserrat" w:cs="Montserrat" w:eastAsia="Montserrat" w:hAnsi="Montserrat"/>
          <w:sz w:val="22"/>
          <w:szCs w:val="22"/>
        </w:rPr>
        <w:t xml:space="preserve">em memorandos como este, com data e contexto, para fins de defesa profissional perante o CRC.</w:t>
      </w:r>
    </w:p>
    <w:p>
      <w:pPr>
        <w:pStyle w:val="Heading2"/>
        <w:spacing w:after="140" w:before="280"/>
      </w:pPr>
      <w:r>
        <w:rPr>
          <w:rFonts w:ascii="Montserrat" w:cs="Montserrat" w:eastAsia="Montserrat" w:hAnsi="Montserrat"/>
          <w:b/>
          <w:bCs/>
          <w:color w:val="0D2F3A"/>
          <w:sz w:val="26"/>
          <w:szCs w:val="26"/>
        </w:rPr>
        <w:t xml:space="preserve">5.2. O que vamos recomendar ao Dr. Haldley (mas só no momento certo)</w:t>
      </w:r>
    </w:p>
    <w:p>
      <w:pPr>
        <w:spacing w:after="80" w:before="80" w:line="300"/>
        <w:jc w:val="both"/>
      </w:pPr>
      <w:r>
        <w:rPr>
          <w:rFonts w:ascii="Montserrat" w:cs="Montserrat" w:eastAsia="Montserrat" w:hAnsi="Montserrat"/>
          <w:sz w:val="22"/>
          <w:szCs w:val="22"/>
        </w:rPr>
        <w:t xml:space="preserve">A primeira reunião de kickoff aconteceu em 01/06/2026. Ainda estamos na fase de coleta de dados, e a confiança institucional está em construção. Não é o momento de apresentar essa recomendação. O timing certo, na nossa avaliação, é o Mês 3 ou início do Mês 4, depois que:</w:t>
      </w:r>
    </w:p>
    <w:p>
      <w:pPr>
        <w:pStyle w:val="ListParagraph"/>
        <w:numPr>
          <w:ilvl w:val="0"/>
          <w:numId w:val="1"/>
        </w:numPr>
        <w:spacing w:after="60" w:before="60" w:line="280"/>
      </w:pPr>
      <w:r>
        <w:rPr>
          <w:rFonts w:ascii="Montserrat" w:cs="Montserrat" w:eastAsia="Montserrat" w:hAnsi="Montserrat"/>
          <w:sz w:val="22"/>
          <w:szCs w:val="22"/>
        </w:rPr>
        <w:t xml:space="preserve">Tivermos o diagnóstico financeiro consolidado e o cliente já tiver percebido o valor da Marco Zero.</w:t>
      </w:r>
    </w:p>
    <w:p>
      <w:pPr>
        <w:pStyle w:val="ListParagraph"/>
        <w:numPr>
          <w:ilvl w:val="0"/>
          <w:numId w:val="1"/>
        </w:numPr>
        <w:spacing w:after="60" w:before="60" w:line="280"/>
      </w:pPr>
      <w:r>
        <w:rPr>
          <w:rFonts w:ascii="Montserrat" w:cs="Montserrat" w:eastAsia="Montserrat" w:hAnsi="Montserrat"/>
          <w:sz w:val="22"/>
          <w:szCs w:val="22"/>
        </w:rPr>
        <w:t xml:space="preserve">Tivermos um especialista tributarista referido para conduzir a parte de planejamento.</w:t>
      </w:r>
    </w:p>
    <w:p>
      <w:pPr>
        <w:pStyle w:val="ListParagraph"/>
        <w:numPr>
          <w:ilvl w:val="0"/>
          <w:numId w:val="1"/>
        </w:numPr>
        <w:spacing w:after="60" w:before="60" w:line="280"/>
      </w:pPr>
      <w:r>
        <w:rPr>
          <w:rFonts w:ascii="Montserrat" w:cs="Montserrat" w:eastAsia="Montserrat" w:hAnsi="Montserrat"/>
          <w:sz w:val="22"/>
          <w:szCs w:val="22"/>
        </w:rPr>
        <w:t xml:space="preserve">Tivermos clareza sobre o tamanho exato da exposição (R$ recolhido a menor por ano, multa potencial).</w:t>
      </w:r>
    </w:p>
    <w:p>
      <w:pPr>
        <w:spacing w:after="80" w:before="100" w:line="300"/>
        <w:jc w:val="both"/>
      </w:pPr>
      <w:r>
        <w:rPr>
          <w:rFonts w:ascii="Montserrat" w:cs="Montserrat" w:eastAsia="Montserrat" w:hAnsi="Montserrat"/>
          <w:sz w:val="22"/>
          <w:szCs w:val="22"/>
        </w:rPr>
        <w:t xml:space="preserve">A recomendação será proposta com três alternativas, em ordem de complexidade crescente:</w:t>
      </w:r>
    </w:p>
    <w:p>
      <w:pPr>
        <w:pStyle w:val="ListParagraph"/>
        <w:numPr>
          <w:ilvl w:val="0"/>
          <w:numId w:val="1"/>
        </w:numPr>
        <w:spacing w:after="60" w:before="60" w:line="280"/>
      </w:pPr>
      <w:r>
        <w:rPr>
          <w:rFonts w:ascii="Montserrat" w:cs="Montserrat" w:eastAsia="Montserrat" w:hAnsi="Montserrat"/>
          <w:b/>
          <w:bCs/>
          <w:sz w:val="22"/>
          <w:szCs w:val="22"/>
        </w:rPr>
        <w:t xml:space="preserve">Alternativa A — Encerramento ordenado da Proview e migração da Matriz unificada para Lucro Presumido.</w:t>
      </w:r>
      <w:r>
        <w:rPr>
          <w:rFonts w:ascii="Montserrat" w:cs="Montserrat" w:eastAsia="Montserrat" w:hAnsi="Montserrat"/>
          <w:sz w:val="22"/>
          <w:szCs w:val="22"/>
        </w:rPr>
        <w:t xml:space="preserve"> É a opção mais simples e a que elimina o risco. O custo tributário sobe, mas a exposição cai a zero. Avaliar se o aumento de carga compensa em horizonte de 5-10 anos.</w:t>
      </w:r>
    </w:p>
    <w:p>
      <w:pPr>
        <w:pStyle w:val="ListParagraph"/>
        <w:numPr>
          <w:ilvl w:val="0"/>
          <w:numId w:val="1"/>
        </w:numPr>
        <w:spacing w:after="60" w:before="60" w:line="280"/>
      </w:pPr>
      <w:r>
        <w:rPr>
          <w:rFonts w:ascii="Montserrat" w:cs="Montserrat" w:eastAsia="Montserrat" w:hAnsi="Montserrat"/>
          <w:b/>
          <w:bCs/>
          <w:sz w:val="22"/>
          <w:szCs w:val="22"/>
        </w:rPr>
        <w:t xml:space="preserve">Alternativa B — Constituição de operação real na Proview </w:t>
      </w:r>
      <w:r>
        <w:rPr>
          <w:rFonts w:ascii="Montserrat" w:cs="Montserrat" w:eastAsia="Montserrat" w:hAnsi="Montserrat"/>
          <w:sz w:val="22"/>
          <w:szCs w:val="22"/>
        </w:rPr>
        <w:t xml:space="preserve">(loja efetiva em endereço próprio, com funcionários, estoque, mix distinto, propósito negocial demonstrável). Mantém o Simples nas duas PJs, mas exige investimento físico real.</w:t>
      </w:r>
    </w:p>
    <w:p>
      <w:pPr>
        <w:pStyle w:val="ListParagraph"/>
        <w:numPr>
          <w:ilvl w:val="0"/>
          <w:numId w:val="1"/>
        </w:numPr>
        <w:spacing w:after="60" w:before="60" w:line="280"/>
      </w:pPr>
      <w:r>
        <w:rPr>
          <w:rFonts w:ascii="Montserrat" w:cs="Montserrat" w:eastAsia="Montserrat" w:hAnsi="Montserrat"/>
          <w:b/>
          <w:bCs/>
          <w:sz w:val="22"/>
          <w:szCs w:val="22"/>
        </w:rPr>
        <w:t xml:space="preserve">Alternativa C — Estruturas mais sofisticadas </w:t>
      </w:r>
      <w:r>
        <w:rPr>
          <w:rFonts w:ascii="Montserrat" w:cs="Montserrat" w:eastAsia="Montserrat" w:hAnsi="Montserrat"/>
          <w:sz w:val="22"/>
          <w:szCs w:val="22"/>
        </w:rPr>
        <w:t xml:space="preserve">(consórcio, holding, fusão por incorporação) — a serem desenhadas com tributarista. Dependem do perfil patrimonial do Dr. Haldley.</w:t>
      </w:r>
    </w:p>
    <w:p>
      <w:pPr>
        <w:pStyle w:val="Heading2"/>
        <w:spacing w:after="140" w:before="280"/>
      </w:pPr>
      <w:r>
        <w:rPr>
          <w:rFonts w:ascii="Montserrat" w:cs="Montserrat" w:eastAsia="Montserrat" w:hAnsi="Montserrat"/>
          <w:b/>
          <w:bCs/>
          <w:color w:val="0D2F3A"/>
          <w:sz w:val="26"/>
          <w:szCs w:val="26"/>
        </w:rPr>
        <w:t xml:space="preserve">5.3. O que não vamos fazer</w:t>
      </w:r>
    </w:p>
    <w:p>
      <w:pPr>
        <w:pStyle w:val="ListParagraph"/>
        <w:numPr>
          <w:ilvl w:val="0"/>
          <w:numId w:val="1"/>
        </w:numPr>
        <w:spacing w:after="60" w:before="60" w:line="280"/>
      </w:pPr>
      <w:r>
        <w:rPr>
          <w:rFonts w:ascii="Montserrat" w:cs="Montserrat" w:eastAsia="Montserrat" w:hAnsi="Montserrat"/>
          <w:b/>
          <w:bCs/>
          <w:sz w:val="22"/>
          <w:szCs w:val="22"/>
        </w:rPr>
        <w:t xml:space="preserve">Não vamos auditar a estrutura para a Receita </w:t>
      </w:r>
      <w:r>
        <w:rPr>
          <w:rFonts w:ascii="Montserrat" w:cs="Montserrat" w:eastAsia="Montserrat" w:hAnsi="Montserrat"/>
          <w:sz w:val="22"/>
          <w:szCs w:val="22"/>
        </w:rPr>
        <w:t xml:space="preserve">— não é nossa contratação. Mas vamos manter este memorando como prova de que identificamos o risco.</w:t>
      </w:r>
    </w:p>
    <w:p>
      <w:pPr>
        <w:pStyle w:val="ListParagraph"/>
        <w:numPr>
          <w:ilvl w:val="0"/>
          <w:numId w:val="1"/>
        </w:numPr>
        <w:spacing w:after="60" w:before="60" w:line="280"/>
      </w:pPr>
      <w:r>
        <w:rPr>
          <w:rFonts w:ascii="Montserrat" w:cs="Montserrat" w:eastAsia="Montserrat" w:hAnsi="Montserrat"/>
          <w:b/>
          <w:bCs/>
          <w:sz w:val="22"/>
          <w:szCs w:val="22"/>
        </w:rPr>
        <w:t xml:space="preserve">Não vamos atuar como assessor tributário formal para resolução</w:t>
      </w:r>
      <w:r>
        <w:rPr>
          <w:rFonts w:ascii="Montserrat" w:cs="Montserrat" w:eastAsia="Montserrat" w:hAnsi="Montserrat"/>
          <w:sz w:val="22"/>
          <w:szCs w:val="22"/>
        </w:rPr>
        <w:t xml:space="preserve"> — vamos referir o cliente a profissional especializado quando o momento for adequado.</w:t>
      </w:r>
    </w:p>
    <w:p>
      <w:pPr>
        <w:pStyle w:val="ListParagraph"/>
        <w:numPr>
          <w:ilvl w:val="0"/>
          <w:numId w:val="1"/>
        </w:numPr>
        <w:spacing w:after="60" w:before="60" w:line="280"/>
      </w:pPr>
      <w:r>
        <w:rPr>
          <w:rFonts w:ascii="Montserrat" w:cs="Montserrat" w:eastAsia="Montserrat" w:hAnsi="Montserrat"/>
          <w:b/>
          <w:bCs/>
          <w:sz w:val="22"/>
          <w:szCs w:val="22"/>
        </w:rPr>
        <w:t xml:space="preserve">Não vamos compartilhar este memorando com o cliente</w:t>
      </w:r>
      <w:r>
        <w:rPr>
          <w:rFonts w:ascii="Montserrat" w:cs="Montserrat" w:eastAsia="Montserrat" w:hAnsi="Montserrat"/>
          <w:sz w:val="22"/>
          <w:szCs w:val="22"/>
        </w:rPr>
        <w:t xml:space="preserve"> nem com terceiros sem autorização expressa do Wesley.</w:t>
      </w:r>
    </w:p>
    <w:p>
      <w:pPr>
        <w:pStyle w:val="ListParagraph"/>
        <w:numPr>
          <w:ilvl w:val="0"/>
          <w:numId w:val="1"/>
        </w:numPr>
        <w:spacing w:after="60" w:before="60" w:line="280"/>
      </w:pPr>
      <w:r>
        <w:rPr>
          <w:rFonts w:ascii="Montserrat" w:cs="Montserrat" w:eastAsia="Montserrat" w:hAnsi="Montserrat"/>
          <w:b/>
          <w:bCs/>
          <w:sz w:val="22"/>
          <w:szCs w:val="22"/>
        </w:rPr>
        <w:t xml:space="preserve">Não vamos fazer recomendações por escrito em apresentações ao cliente </w:t>
      </w:r>
      <w:r>
        <w:rPr>
          <w:rFonts w:ascii="Montserrat" w:cs="Montserrat" w:eastAsia="Montserrat" w:hAnsi="Montserrat"/>
          <w:sz w:val="22"/>
          <w:szCs w:val="22"/>
        </w:rPr>
        <w:t xml:space="preserve">que possam ser interpretadas como aprovação ou validação da estrutura atual. A Prévia entregue ao Dr. Haldley em 02/06/2026 reconhece a estrutura como "risco identificado", sem chancelá-la.</w:t>
      </w:r>
    </w:p>
    <w:p>
      <w:pPr>
        <w:pStyle w:val="Heading1"/>
        <w:spacing w:after="200" w:before="360"/>
      </w:pPr>
      <w:r>
        <w:rPr>
          <w:rFonts w:ascii="Montserrat" w:cs="Montserrat" w:eastAsia="Montserrat" w:hAnsi="Montserrat"/>
          <w:b/>
          <w:bCs/>
          <w:color w:val="0D2F3A"/>
          <w:sz w:val="32"/>
          <w:szCs w:val="32"/>
        </w:rPr>
        <w:t xml:space="preserve">6. Defesa profissional do contador responsável</w:t>
      </w:r>
    </w:p>
    <w:p>
      <w:pPr>
        <w:pStyle w:val="Heading2"/>
        <w:spacing w:after="140" w:before="280"/>
      </w:pPr>
      <w:r>
        <w:rPr>
          <w:rFonts w:ascii="Montserrat" w:cs="Montserrat" w:eastAsia="Montserrat" w:hAnsi="Montserrat"/>
          <w:b/>
          <w:bCs/>
          <w:color w:val="0D2F3A"/>
          <w:sz w:val="26"/>
          <w:szCs w:val="26"/>
        </w:rPr>
        <w:t xml:space="preserve">6.1. Cronologia da descoberta dos riscos materiais</w:t>
      </w:r>
    </w:p>
    <w:p>
      <w:pPr>
        <w:spacing w:after="80" w:before="80" w:line="300"/>
        <w:jc w:val="both"/>
      </w:pPr>
      <w:r>
        <w:rPr>
          <w:rFonts w:ascii="Montserrat" w:cs="Montserrat" w:eastAsia="Montserrat" w:hAnsi="Montserrat"/>
          <w:sz w:val="22"/>
          <w:szCs w:val="22"/>
        </w:rPr>
        <w:t xml:space="preserve">Para fins de registro defensivo, fixa-se a seguinte linha do tempo:</w:t>
      </w:r>
    </w:p>
    <w:p>
      <w:pPr>
        <w:pStyle w:val="ListParagraph"/>
        <w:numPr>
          <w:ilvl w:val="0"/>
          <w:numId w:val="1"/>
        </w:numPr>
        <w:spacing w:after="60" w:before="60" w:line="280"/>
      </w:pPr>
      <w:r>
        <w:rPr>
          <w:rFonts w:ascii="Montserrat" w:cs="Montserrat" w:eastAsia="Montserrat" w:hAnsi="Montserrat"/>
          <w:b/>
          <w:bCs/>
          <w:sz w:val="22"/>
          <w:szCs w:val="22"/>
        </w:rPr>
        <w:t xml:space="preserve">30/05/2026:</w:t>
      </w:r>
      <w:r>
        <w:rPr>
          <w:rFonts w:ascii="Montserrat" w:cs="Montserrat" w:eastAsia="Montserrat" w:hAnsi="Montserrat"/>
          <w:sz w:val="22"/>
          <w:szCs w:val="22"/>
        </w:rPr>
        <w:t xml:space="preserve"> Assinatura do contrato de Inteligência Financeira entre Marco Zero Inteligência Financeira Ltda e Óticas Mais Ltda (CNPJ 07.843.328/0001-19). Na fase pré-contratual, o Dr. Haldley apresentou o cliente como sendo a Óticas Mais Ltda (Matriz + Filial sob raiz 07.843.328). A existência da terceira Pessoa Jurídica do grupo (Óticas BH Ltda, CNPJ 18.960.845/0001-94) NÃO foi informada à Marco Zero nesta fase.</w:t>
      </w:r>
    </w:p>
    <w:p>
      <w:pPr>
        <w:pStyle w:val="ListParagraph"/>
        <w:numPr>
          <w:ilvl w:val="0"/>
          <w:numId w:val="1"/>
        </w:numPr>
        <w:spacing w:after="60" w:before="60" w:line="280"/>
      </w:pPr>
      <w:r>
        <w:rPr>
          <w:rFonts w:ascii="Montserrat" w:cs="Montserrat" w:eastAsia="Montserrat" w:hAnsi="Montserrat"/>
          <w:b/>
          <w:bCs/>
          <w:sz w:val="22"/>
          <w:szCs w:val="22"/>
        </w:rPr>
        <w:t xml:space="preserve">01/06/2026:</w:t>
      </w:r>
      <w:r>
        <w:rPr>
          <w:rFonts w:ascii="Montserrat" w:cs="Montserrat" w:eastAsia="Montserrat" w:hAnsi="Montserrat"/>
          <w:sz w:val="22"/>
          <w:szCs w:val="22"/>
        </w:rPr>
        <w:t xml:space="preserve"> Reunião de kickoff conduzida pela Marco Zero na sede do cliente. Nesta ocasião, em conversa com o Dr. Haldley, o contador Wesley Júnio de Oliveira Amaral tomou conhecimento, pela primeira vez, da existência da Óticas BH Ltda e do mecanismo de distribuição de receita entre as três inscrições. Na mesma reunião, o Dr. Haldley relatou também a prática de pagamento de comissões a vendedores por adiantamento sem registro em folha.</w:t>
      </w:r>
    </w:p>
    <w:p>
      <w:pPr>
        <w:pStyle w:val="ListParagraph"/>
        <w:numPr>
          <w:ilvl w:val="0"/>
          <w:numId w:val="1"/>
        </w:numPr>
        <w:spacing w:after="60" w:before="60" w:line="280"/>
      </w:pPr>
      <w:r>
        <w:rPr>
          <w:rFonts w:ascii="Montserrat" w:cs="Montserrat" w:eastAsia="Montserrat" w:hAnsi="Montserrat"/>
          <w:b/>
          <w:bCs/>
          <w:sz w:val="22"/>
          <w:szCs w:val="22"/>
        </w:rPr>
        <w:t xml:space="preserve">02/06/2026 (manhã):</w:t>
      </w:r>
      <w:r>
        <w:rPr>
          <w:rFonts w:ascii="Montserrat" w:cs="Montserrat" w:eastAsia="Montserrat" w:hAnsi="Montserrat"/>
          <w:sz w:val="22"/>
          <w:szCs w:val="22"/>
        </w:rPr>
        <w:t xml:space="preserve"> Análise inicial dos primeiros documentos enviados pela equipe do cliente (Jeane Alvarenga, supervisora; Debora Camargo, assistente). Recebimento dos cartões CNPJ atualizados das três inscrições, agendas financeiras Get Net, NF-e e extratos bancários — confirmando a estrutura societária descrita pelo Dr. Haldley.</w:t>
      </w:r>
    </w:p>
    <w:p>
      <w:pPr>
        <w:pStyle w:val="ListParagraph"/>
        <w:numPr>
          <w:ilvl w:val="0"/>
          <w:numId w:val="1"/>
        </w:numPr>
        <w:spacing w:after="60" w:before="60" w:line="280"/>
      </w:pPr>
      <w:r>
        <w:rPr>
          <w:rFonts w:ascii="Montserrat" w:cs="Montserrat" w:eastAsia="Montserrat" w:hAnsi="Montserrat"/>
          <w:b/>
          <w:bCs/>
          <w:sz w:val="22"/>
          <w:szCs w:val="22"/>
        </w:rPr>
        <w:t xml:space="preserve">02/06/2026 (final do dia):</w:t>
      </w:r>
      <w:r>
        <w:rPr>
          <w:rFonts w:ascii="Montserrat" w:cs="Montserrat" w:eastAsia="Montserrat" w:hAnsi="Montserrat"/>
          <w:sz w:val="22"/>
          <w:szCs w:val="22"/>
        </w:rPr>
        <w:t xml:space="preserve"> Caracterização completa dos dois achados materiais e redação deste memorando técnico interno confidencial, datado e arquivado em pasta de acesso restrito.</w:t>
      </w:r>
    </w:p>
    <w:p>
      <w:pPr>
        <w:pStyle w:val="Heading2"/>
        <w:spacing w:after="140" w:before="280"/>
      </w:pPr>
      <w:r>
        <w:rPr>
          <w:rFonts w:ascii="Montserrat" w:cs="Montserrat" w:eastAsia="Montserrat" w:hAnsi="Montserrat"/>
          <w:b/>
          <w:bCs/>
          <w:color w:val="0D2F3A"/>
          <w:sz w:val="26"/>
          <w:szCs w:val="26"/>
        </w:rPr>
        <w:t xml:space="preserve">6.2. Pontos defensivos consolidados</w:t>
      </w:r>
    </w:p>
    <w:p>
      <w:pPr>
        <w:spacing w:after="80" w:before="80" w:line="300"/>
        <w:jc w:val="both"/>
      </w:pPr>
      <w:r>
        <w:rPr>
          <w:rFonts w:ascii="Montserrat" w:cs="Montserrat" w:eastAsia="Montserrat" w:hAnsi="Montserrat"/>
          <w:sz w:val="22"/>
          <w:szCs w:val="22"/>
        </w:rPr>
        <w:t xml:space="preserve">Este memorando, datado de 02/06/2026, comprova que:</w:t>
      </w:r>
    </w:p>
    <w:p>
      <w:pPr>
        <w:pStyle w:val="ListParagraph"/>
        <w:numPr>
          <w:ilvl w:val="0"/>
          <w:numId w:val="1"/>
        </w:numPr>
        <w:spacing w:after="60" w:before="60" w:line="280"/>
      </w:pPr>
      <w:r>
        <w:rPr>
          <w:rFonts w:ascii="Montserrat" w:cs="Montserrat" w:eastAsia="Montserrat" w:hAnsi="Montserrat"/>
          <w:b/>
          <w:bCs/>
          <w:sz w:val="22"/>
          <w:szCs w:val="22"/>
        </w:rPr>
        <w:t xml:space="preserve">O contador Wesley Júnio de Oliveira Amaral identificou os riscos materiais </w:t>
      </w:r>
      <w:r>
        <w:rPr>
          <w:rFonts w:ascii="Montserrat" w:cs="Montserrat" w:eastAsia="Montserrat" w:hAnsi="Montserrat"/>
          <w:sz w:val="22"/>
          <w:szCs w:val="22"/>
        </w:rPr>
        <w:t xml:space="preserve">em D+1 do contrato, logo após tomar conhecimento da estrutura completa do grupo. Identificação tempestiva — não houve atuação contábil, fiscal ou consultiva sobre as operações antes do registro do risco.</w:t>
      </w:r>
    </w:p>
    <w:p>
      <w:pPr>
        <w:pStyle w:val="ListParagraph"/>
        <w:numPr>
          <w:ilvl w:val="0"/>
          <w:numId w:val="1"/>
        </w:numPr>
        <w:spacing w:after="60" w:before="60" w:line="280"/>
      </w:pPr>
      <w:r>
        <w:rPr>
          <w:rFonts w:ascii="Montserrat" w:cs="Montserrat" w:eastAsia="Montserrat" w:hAnsi="Montserrat"/>
          <w:b/>
          <w:bCs/>
          <w:sz w:val="22"/>
          <w:szCs w:val="22"/>
        </w:rPr>
        <w:t xml:space="preserve">A Marco Zero NÃO foi informada da estrutura completa do grupo na fase pré-contratual</w:t>
      </w:r>
      <w:r>
        <w:rPr>
          <w:rFonts w:ascii="Montserrat" w:cs="Montserrat" w:eastAsia="Montserrat" w:hAnsi="Montserrat"/>
          <w:sz w:val="22"/>
          <w:szCs w:val="22"/>
        </w:rPr>
        <w:t xml:space="preserve">. O contrato foi celebrado em 30/05/2026 com base em apresentação parcial das PJs do controlador. A descoberta da terceira PJ ocorreu em 01/06/2026, em sede de execução do contrato, durante a reunião de kickoff.</w:t>
      </w:r>
    </w:p>
    <w:p>
      <w:pPr>
        <w:pStyle w:val="ListParagraph"/>
        <w:numPr>
          <w:ilvl w:val="0"/>
          <w:numId w:val="1"/>
        </w:numPr>
        <w:spacing w:after="60" w:before="60" w:line="280"/>
      </w:pPr>
      <w:r>
        <w:rPr>
          <w:rFonts w:ascii="Montserrat" w:cs="Montserrat" w:eastAsia="Montserrat" w:hAnsi="Montserrat"/>
          <w:b/>
          <w:bCs/>
          <w:sz w:val="22"/>
          <w:szCs w:val="22"/>
        </w:rPr>
        <w:t xml:space="preserve">A Marco Zero optou por não alterar valores ou prazos do contrato</w:t>
      </w:r>
      <w:r>
        <w:rPr>
          <w:rFonts w:ascii="Montserrat" w:cs="Montserrat" w:eastAsia="Montserrat" w:hAnsi="Montserrat"/>
          <w:sz w:val="22"/>
          <w:szCs w:val="22"/>
        </w:rPr>
        <w:t xml:space="preserve"> após a descoberta. Decisão tomada por Wesley em 02/06/2026: o contrato firmado em 30/05/2026 permanece exatamente como assinado (R$ 60.000, 12 meses). A Marco Zero, por gesto de boa-fé profissional, estende operacionalmente o atendimento à terceira PJ (Óticas BH Ltda) sem custo adicional ao cliente — análise gerencial, relatórios e recomendações cobrem as três inscrições. Essa decisão preserva a relação institucional e demonstra postura técnica sem onerar o cliente.</w:t>
      </w:r>
    </w:p>
    <w:p>
      <w:pPr>
        <w:pStyle w:val="ListParagraph"/>
        <w:numPr>
          <w:ilvl w:val="0"/>
          <w:numId w:val="1"/>
        </w:numPr>
        <w:spacing w:after="60" w:before="60" w:line="280"/>
      </w:pPr>
      <w:r>
        <w:rPr>
          <w:rFonts w:ascii="Montserrat" w:cs="Montserrat" w:eastAsia="Montserrat" w:hAnsi="Montserrat"/>
          <w:b/>
          <w:bCs/>
          <w:sz w:val="22"/>
          <w:szCs w:val="22"/>
        </w:rPr>
        <w:t xml:space="preserve">A identificação dos riscos foi feita com base nos próprios documentos e relatos do cliente </w:t>
      </w:r>
      <w:r>
        <w:rPr>
          <w:rFonts w:ascii="Montserrat" w:cs="Montserrat" w:eastAsia="Montserrat" w:hAnsi="Montserrat"/>
          <w:sz w:val="22"/>
          <w:szCs w:val="22"/>
        </w:rPr>
        <w:t xml:space="preserve">(cartões CNPJ, agenda Get Net, XMLs NF-e, conversas com o Dr. Haldley em 01/06/2026 e com Wesley em 02/06/2026), não por terceiros nem por iniciativa investigativa autônoma.</w:t>
      </w:r>
    </w:p>
    <w:p>
      <w:pPr>
        <w:pStyle w:val="ListParagraph"/>
        <w:numPr>
          <w:ilvl w:val="0"/>
          <w:numId w:val="1"/>
        </w:numPr>
        <w:spacing w:after="60" w:before="60" w:line="280"/>
      </w:pPr>
      <w:r>
        <w:rPr>
          <w:rFonts w:ascii="Montserrat" w:cs="Montserrat" w:eastAsia="Montserrat" w:hAnsi="Montserrat"/>
          <w:b/>
          <w:bCs/>
          <w:sz w:val="22"/>
          <w:szCs w:val="22"/>
        </w:rPr>
        <w:t xml:space="preserve">A Marco Zero não participou da constituição de nenhuma das PJs </w:t>
      </w:r>
      <w:r>
        <w:rPr>
          <w:rFonts w:ascii="Montserrat" w:cs="Montserrat" w:eastAsia="Montserrat" w:hAnsi="Montserrat"/>
          <w:sz w:val="22"/>
          <w:szCs w:val="22"/>
        </w:rPr>
        <w:t xml:space="preserve">— todas existiam antes do engajamento (Matriz: 16/02/2006; Filial: 30/05/2006; Óticas BH: 26/09/2013, com situação cadastral atualizada em 26/01/2024).</w:t>
      </w:r>
    </w:p>
    <w:p>
      <w:pPr>
        <w:pStyle w:val="ListParagraph"/>
        <w:numPr>
          <w:ilvl w:val="0"/>
          <w:numId w:val="1"/>
        </w:numPr>
        <w:spacing w:after="60" w:before="60" w:line="280"/>
      </w:pPr>
      <w:r>
        <w:rPr>
          <w:rFonts w:ascii="Montserrat" w:cs="Montserrat" w:eastAsia="Montserrat" w:hAnsi="Montserrat"/>
          <w:b/>
          <w:bCs/>
          <w:sz w:val="22"/>
          <w:szCs w:val="22"/>
        </w:rPr>
        <w:t xml:space="preserve">A Marco Zero não participa da operação do mecanismo de adiantamento de comissões off-folha </w:t>
      </w:r>
      <w:r>
        <w:rPr>
          <w:rFonts w:ascii="Montserrat" w:cs="Montserrat" w:eastAsia="Montserrat" w:hAnsi="Montserrat"/>
          <w:sz w:val="22"/>
          <w:szCs w:val="22"/>
        </w:rPr>
        <w:t xml:space="preserve">— a prática é anterior à contratação e operada pela equipe interna do cliente sob orientação do Dr. Haldley.</w:t>
      </w:r>
    </w:p>
    <w:p>
      <w:pPr>
        <w:pStyle w:val="ListParagraph"/>
        <w:numPr>
          <w:ilvl w:val="0"/>
          <w:numId w:val="1"/>
        </w:numPr>
        <w:spacing w:after="60" w:before="60" w:line="280"/>
      </w:pPr>
      <w:r>
        <w:rPr>
          <w:rFonts w:ascii="Montserrat" w:cs="Montserrat" w:eastAsia="Montserrat" w:hAnsi="Montserrat"/>
          <w:b/>
          <w:bCs/>
          <w:sz w:val="22"/>
          <w:szCs w:val="22"/>
        </w:rPr>
        <w:t xml:space="preserve">A Marco Zero recomendará formalmente a correção das duas situações </w:t>
      </w:r>
      <w:r>
        <w:rPr>
          <w:rFonts w:ascii="Montserrat" w:cs="Montserrat" w:eastAsia="Montserrat" w:hAnsi="Montserrat"/>
          <w:sz w:val="22"/>
          <w:szCs w:val="22"/>
        </w:rPr>
        <w:t xml:space="preserve">em momento oportuno (Mês 3-4), em documento próprio entregue ao cliente, com cópia mantida em arquivo.</w:t>
      </w:r>
    </w:p>
    <w:p>
      <w:pPr>
        <w:spacing w:after="80" w:before="120" w:line="300"/>
        <w:jc w:val="both"/>
      </w:pPr>
      <w:r>
        <w:rPr>
          <w:rFonts w:ascii="Montserrat" w:cs="Montserrat" w:eastAsia="Montserrat" w:hAnsi="Montserrat"/>
          <w:sz w:val="22"/>
          <w:szCs w:val="22"/>
        </w:rPr>
        <w:t xml:space="preserve">Em caso de fiscalização posterior, este memorando, datado de 02/06/2026, registra a ciência tempestiva dos riscos e a postura técnica adotada. Combinado com (a) o contrato assinado em 30/05/2026 (que delimita o escopo da contratação como Inteligência Financeira gerencial sobre a PJ Óticas Mais Ltda); (b) a Prévia entregue ao cliente em 02/06/2026 (versão 2, com registro administrativo da identificação da 3ª PJ); e (c) os e-mails de comunicação com a equipe interna do cliente (R01 Jeane e R02 Debora) — compõe a documentação defensiva da Marco Zero. A extensão do atendimento à Óticas BH sem contrapartida financeira é gesto de boa-fé que reforça, e não enfraquece, a postura ética do prestador.</w:t>
      </w:r>
    </w:p>
    <w:p>
      <w:pPr>
        <w:pStyle w:val="Heading1"/>
        <w:spacing w:after="200" w:before="360"/>
      </w:pPr>
      <w:r>
        <w:rPr>
          <w:rFonts w:ascii="Montserrat" w:cs="Montserrat" w:eastAsia="Montserrat" w:hAnsi="Montserrat"/>
          <w:b/>
          <w:bCs/>
          <w:color w:val="0D2F3A"/>
          <w:sz w:val="32"/>
          <w:szCs w:val="32"/>
        </w:rPr>
        <w:t xml:space="preserve">7. Próximos passos internos da Marco Zero</w:t>
      </w:r>
    </w:p>
    <w:p>
      <w:pPr>
        <w:pStyle w:val="ListParagraph"/>
        <w:numPr>
          <w:ilvl w:val="0"/>
          <w:numId w:val="1"/>
        </w:numPr>
        <w:spacing w:after="60" w:before="60" w:line="280"/>
      </w:pPr>
      <w:r>
        <w:rPr>
          <w:rFonts w:ascii="Montserrat" w:cs="Montserrat" w:eastAsia="Montserrat" w:hAnsi="Montserrat"/>
          <w:b/>
          <w:bCs/>
          <w:sz w:val="22"/>
          <w:szCs w:val="22"/>
        </w:rPr>
        <w:t xml:space="preserve">Manter este memorando arquivado em </w:t>
      </w:r>
      <w:r>
        <w:rPr>
          <w:rFonts w:ascii="Montserrat" w:cs="Montserrat" w:eastAsia="Montserrat" w:hAnsi="Montserrat"/>
          <w:sz w:val="22"/>
          <w:szCs w:val="22"/>
        </w:rPr>
        <w:t xml:space="preserve">marco-zeroif-oticasmais/Interno/Memorandos/M01_Riscos_Materiais_2026-06-02.docx — pasta de acesso restrito ao Wesley.</w:t>
      </w:r>
    </w:p>
    <w:p>
      <w:pPr>
        <w:pStyle w:val="ListParagraph"/>
        <w:numPr>
          <w:ilvl w:val="0"/>
          <w:numId w:val="1"/>
        </w:numPr>
        <w:spacing w:after="60" w:before="60" w:line="280"/>
      </w:pPr>
      <w:r>
        <w:rPr>
          <w:rFonts w:ascii="Montserrat" w:cs="Montserrat" w:eastAsia="Montserrat" w:hAnsi="Montserrat"/>
          <w:b/>
          <w:bCs/>
          <w:sz w:val="22"/>
          <w:szCs w:val="22"/>
        </w:rPr>
        <w:t xml:space="preserve">Atualizar a memória do projeto</w:t>
      </w:r>
      <w:r>
        <w:rPr>
          <w:rFonts w:ascii="Montserrat" w:cs="Montserrat" w:eastAsia="Montserrat" w:hAnsi="Montserrat"/>
          <w:sz w:val="22"/>
          <w:szCs w:val="22"/>
        </w:rPr>
        <w:t xml:space="preserve"> com a caracterização da estrutura societária (duas PJs, três estabelecimentos — já feito em 02/06/2026).</w:t>
      </w:r>
    </w:p>
    <w:p>
      <w:pPr>
        <w:pStyle w:val="ListParagraph"/>
        <w:numPr>
          <w:ilvl w:val="0"/>
          <w:numId w:val="1"/>
        </w:numPr>
        <w:spacing w:after="60" w:before="60" w:line="280"/>
      </w:pPr>
      <w:r>
        <w:rPr>
          <w:rFonts w:ascii="Montserrat" w:cs="Montserrat" w:eastAsia="Montserrat" w:hAnsi="Montserrat"/>
          <w:b/>
          <w:bCs/>
          <w:sz w:val="22"/>
          <w:szCs w:val="22"/>
        </w:rPr>
        <w:t xml:space="preserve">Aplicar a metodologia analítica de 3 níveis em todos os artefatos gerenciais: Nível 1 (PJ Óticas Mais inteira), Nível 2 (PJ Óticas BH), Nível 3 (Grupo).</w:t>
      </w:r>
    </w:p>
    <w:p>
      <w:pPr>
        <w:pStyle w:val="ListParagraph"/>
        <w:numPr>
          <w:ilvl w:val="0"/>
          <w:numId w:val="1"/>
        </w:numPr>
        <w:spacing w:after="60" w:before="60" w:line="280"/>
      </w:pPr>
      <w:r>
        <w:rPr>
          <w:rFonts w:ascii="Montserrat" w:cs="Montserrat" w:eastAsia="Montserrat" w:hAnsi="Montserrat"/>
          <w:b/>
          <w:bCs/>
          <w:sz w:val="22"/>
          <w:szCs w:val="22"/>
        </w:rPr>
        <w:t xml:space="preserve">Identificar tributarista de confiança </w:t>
      </w:r>
      <w:r>
        <w:rPr>
          <w:rFonts w:ascii="Montserrat" w:cs="Montserrat" w:eastAsia="Montserrat" w:hAnsi="Montserrat"/>
          <w:sz w:val="22"/>
          <w:szCs w:val="22"/>
        </w:rPr>
        <w:t xml:space="preserve">para referir o cliente no momento adequado. Critérios: experiência em Simples Nacional, em reorganização societária, em mediação com SEFAZ-MG.</w:t>
      </w:r>
    </w:p>
    <w:p>
      <w:pPr>
        <w:pStyle w:val="ListParagraph"/>
        <w:numPr>
          <w:ilvl w:val="0"/>
          <w:numId w:val="1"/>
        </w:numPr>
        <w:spacing w:after="60" w:before="60" w:line="280"/>
      </w:pPr>
      <w:r>
        <w:rPr>
          <w:rFonts w:ascii="Montserrat" w:cs="Montserrat" w:eastAsia="Montserrat" w:hAnsi="Montserrat"/>
          <w:b/>
          <w:bCs/>
          <w:sz w:val="22"/>
          <w:szCs w:val="22"/>
        </w:rPr>
        <w:t xml:space="preserve">Não citar este memorando em nenhuma comunicação com cliente, contadora externa, contabilidade, equipe interna ou terceiros.</w:t>
      </w:r>
    </w:p>
    <w:p>
      <w:pPr>
        <w:pStyle w:val="Heading1"/>
        <w:spacing w:after="200" w:before="360"/>
      </w:pPr>
      <w:r>
        <w:rPr>
          <w:rFonts w:ascii="Montserrat" w:cs="Montserrat" w:eastAsia="Montserrat" w:hAnsi="Montserrat"/>
          <w:b/>
          <w:bCs/>
          <w:color w:val="0D2F3A"/>
          <w:sz w:val="32"/>
          <w:szCs w:val="32"/>
        </w:rPr>
        <w:t xml:space="preserve">Registro de autoria</w:t>
      </w:r>
    </w:p>
    <w:p>
      <w:pPr>
        <w:spacing w:after="80" w:before="200" w:line="300"/>
        <w:jc w:val="both"/>
      </w:pPr>
      <w:r>
        <w:rPr>
          <w:rFonts w:ascii="Montserrat" w:cs="Montserrat" w:eastAsia="Montserrat" w:hAnsi="Montserrat"/>
          <w:b/>
          <w:bCs/>
          <w:color w:val="0D2F3A"/>
          <w:sz w:val="22"/>
          <w:szCs w:val="22"/>
        </w:rPr>
        <w:t xml:space="preserve">Wesley Júnio de Oliveira Amaral</w:t>
      </w:r>
    </w:p>
    <w:p>
      <w:pPr>
        <w:spacing w:after="80" w:before="80" w:line="300"/>
        <w:jc w:val="both"/>
      </w:pPr>
      <w:r>
        <w:rPr>
          <w:rFonts w:ascii="Montserrat" w:cs="Montserrat" w:eastAsia="Montserrat" w:hAnsi="Montserrat"/>
          <w:color w:val="8B8689"/>
          <w:sz w:val="20"/>
          <w:szCs w:val="20"/>
        </w:rPr>
        <w:t xml:space="preserve">Sócio-administrador, Marco Zero Inteligência Financeira Ltda</w:t>
      </w:r>
    </w:p>
    <w:p>
      <w:pPr>
        <w:spacing w:after="80" w:before="80" w:line="300"/>
        <w:jc w:val="both"/>
      </w:pPr>
      <w:r>
        <w:rPr>
          <w:rFonts w:ascii="Montserrat" w:cs="Montserrat" w:eastAsia="Montserrat" w:hAnsi="Montserrat"/>
          <w:color w:val="8B8689"/>
          <w:sz w:val="20"/>
          <w:szCs w:val="20"/>
        </w:rPr>
        <w:t xml:space="preserve">CPF 055.569.216-79 · Contador (CRC a confirmar)</w:t>
      </w:r>
    </w:p>
    <w:p>
      <w:pPr>
        <w:spacing w:after="80" w:before="100" w:line="300"/>
        <w:jc w:val="both"/>
      </w:pPr>
      <w:r>
        <w:rPr>
          <w:rFonts w:ascii="Montserrat" w:cs="Montserrat" w:eastAsia="Montserrat" w:hAnsi="Montserrat"/>
          <w:i/>
          <w:iCs/>
          <w:color w:val="8B8689"/>
          <w:sz w:val="20"/>
          <w:szCs w:val="20"/>
        </w:rPr>
        <w:t xml:space="preserve">Belo Horizonte, 02 de junho de 2026.</w:t>
      </w:r>
    </w:p>
    <w:sectPr>
      <w:headerReference w:type="default" r:id="rId7"/>
      <w:footerReference w:type="default" r:id="rId8"/>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Montserrat" w:cs="Montserrat" w:eastAsia="Montserrat" w:hAnsi="Montserrat"/>
        <w:color w:val="8B8689"/>
        <w:sz w:val="16"/>
        <w:szCs w:val="16"/>
      </w:rPr>
      <w:t xml:space="preserve">M01 · Riscos materiais · Óticas Mais · 02/06/2026 · pág. </w:t>
    </w:r>
    <w:r>
      <w:rPr>
        <w:rFonts w:ascii="Montserrat" w:cs="Montserrat" w:eastAsia="Montserrat" w:hAnsi="Montserrat"/>
        <w:color w:val="8B868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Montserrat" w:cs="Montserrat" w:eastAsia="Montserrat" w:hAnsi="Montserrat"/>
        <w:b/>
        <w:bCs/>
        <w:color w:val="9C2828"/>
        <w:sz w:val="16"/>
        <w:szCs w:val="16"/>
      </w:rPr>
      <w:t xml:space="preserve">USO INTERNO · CONFIDENCIAL · MARCO ZERO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Montserrat" w:cs="Montserrat" w:eastAsia="Montserrat" w:hAnsi="Montserrat"/>
      <w:b/>
      <w:bCs/>
      <w:color w:val="0D2F3A"/>
      <w:sz w:val="32"/>
      <w:szCs w:val="32"/>
    </w:rPr>
  </w:style>
  <w:style w:type="paragraph" w:styleId="Heading2">
    <w:name w:val="Heading 2"/>
    <w:basedOn w:val="Normal"/>
    <w:next w:val="Normal"/>
    <w:qFormat/>
    <w:rPr>
      <w:rFonts w:ascii="Montserrat" w:cs="Montserrat" w:eastAsia="Montserrat" w:hAnsi="Montserrat"/>
      <w:b/>
      <w:bCs/>
      <w:color w:val="0D2F3A"/>
      <w:sz w:val="26"/>
      <w:szCs w:val="26"/>
    </w:rPr>
  </w:style>
  <w:style w:type="paragraph" w:styleId="Heading3">
    <w:name w:val="Heading 3"/>
    <w:basedOn w:val="Normal"/>
    <w:next w:val="Normal"/>
    <w:qFormat/>
    <w:rPr>
      <w:rFonts w:ascii="Montserrat" w:cs="Montserrat" w:eastAsia="Montserrat" w:hAnsi="Montserrat"/>
      <w:b/>
      <w:bCs/>
      <w:color w:val="1E5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 Técnico Interno Confidencial — M01</dc:title>
  <dc:creator>Marco Zero — Inteligência Financeira</dc:creator>
  <dc:description>Registro interno de riscos materiais identificados em D+1 do engajamento Óticas Mais.</dc:description>
  <cp:lastModifiedBy>Un-named</cp:lastModifiedBy>
  <cp:revision>1</cp:revision>
  <dcterms:created xsi:type="dcterms:W3CDTF">2026-06-02T20:23:16.465Z</dcterms:created>
  <dcterms:modified xsi:type="dcterms:W3CDTF">2026-06-02T20:23:16.466Z</dcterms:modified>
</cp:coreProperties>
</file>

<file path=docProps/custom.xml><?xml version="1.0" encoding="utf-8"?>
<Properties xmlns="http://schemas.openxmlformats.org/officeDocument/2006/custom-properties" xmlns:vt="http://schemas.openxmlformats.org/officeDocument/2006/docPropsVTypes"/>
</file>