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0"/>
          <w:szCs w:val="50"/>
        </w:rPr>
        <w:t xml:space="preserve">CONNECTOR_GCS_FARM</w:t>
      </w:r>
    </w:p>
    <w:p>
      <w:pPr>
        <w:spacing w:before="120"/>
        <w:jc w:val="center"/>
      </w:pPr>
      <w:r>
        <w:rPr>
          <w:color w:val="404040"/>
          <w:sz w:val="28"/>
          <w:szCs w:val="28"/>
        </w:rPr>
        <w:t xml:space="preserve">Documentação do Banco de Dados — Camada RAW</w:t>
      </w:r>
    </w:p>
    <w:p>
      <w:pPr>
        <w:spacing w:before="80"/>
        <w:jc w:val="center"/>
      </w:pPr>
      <w:r>
        <w:rPr>
          <w:i/>
          <w:iCs/>
          <w:color w:val="606060"/>
          <w:sz w:val="22"/>
          <w:szCs w:val="22"/>
        </w:rPr>
        <w:t xml:space="preserve">Banco único de dados brutos (multi-conector) · SQL Server</w:t>
      </w:r>
    </w:p>
    <w:p>
      <w:pPr>
        <w:spacing w:before="1100"/>
        <w:jc w:val="center"/>
      </w:pPr>
      <w:r>
        <w:rPr>
          <w:b/>
          <w:bCs/>
          <w:sz w:val="24"/>
          <w:szCs w:val="24"/>
        </w:rPr>
        <w:t xml:space="preserve">GCS Connection Farm · GCS Agro</w:t>
      </w:r>
    </w:p>
    <w:p>
      <w:pPr>
        <w:jc w:val="center"/>
      </w:pPr>
      <w:r>
        <w:rPr>
          <w:color w:val="606060"/>
          <w:sz w:val="20"/>
          <w:szCs w:val="20"/>
        </w:rPr>
        <w:t xml:space="preserve">Versão 1.1 — Junho/2026</w:t>
      </w:r>
    </w:p>
    <w:p>
      <w:r>
        <w:br w:type="page"/>
      </w:r>
    </w:p>
    <w:p>
      <w:pPr>
        <w:pStyle w:val="Heading1"/>
      </w:pPr>
      <w:r>
        <w:t xml:space="preserve">Sumário</w:t>
      </w:r>
    </w:p>
    <w:sdt>
      <w:sdtPr>
        <w:alias w:val="Sumário"/>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Visão geral</w:t>
      </w:r>
    </w:p>
    <w:p>
      <w:pPr>
        <w:spacing w:after="120"/>
        <w:jc w:val="both"/>
      </w:pPr>
      <w:r>
        <w:rPr>
          <w:b w:val="false"/>
          <w:bCs w:val="false"/>
          <w:i w:val="false"/>
          <w:iCs w:val="false"/>
        </w:rPr>
        <w:t xml:space="preserve">O CONNECTOR_GCS_FARM é o banco único de dados brutos (raw) do GCS Connection Farm. Em vez de um banco por conector, todos os conectores de dados convivem aqui, separados por um prefixo no nome da tabela. Como as tabelas são enxutas, essa consolidação simplifica a operação sem perder organização.</w:t>
      </w:r>
    </w:p>
    <w:p>
      <w:pPr>
        <w:spacing w:after="120"/>
        <w:jc w:val="both"/>
      </w:pPr>
      <w:r>
        <w:rPr>
          <w:b w:val="false"/>
          <w:bCs w:val="false"/>
          <w:i w:val="false"/>
          <w:iCs w:val="false"/>
        </w:rPr>
        <w:t xml:space="preserve">Sua função é receber e preservar o retorno das APIs exatamente como veio (JSON), e registrar o controle de cada ingestão (execuções bem-sucedidas e erros). O tratamento, a limpeza e a integração acontecem depois, no ETL que popula o banco master de dados tratados, o GCS_FARM.</w:t>
      </w:r>
    </w:p>
    <w:p>
      <w:pPr>
        <w:spacing w:after="120"/>
        <w:jc w:val="both"/>
      </w:pPr>
      <w:r>
        <w:rPr>
          <w:b w:val="false"/>
          <w:bCs w:val="false"/>
          <w:i w:val="false"/>
          <w:iCs w:val="false"/>
        </w:rPr>
        <w:t xml:space="preserve">Este documento detalha o primeiro conector implementado — o Solinftec (API 22, Detalhes da Operação; API 21, Dados Meteorológicos) — e a convenção que os próximos conectores seguirão.</w:t>
      </w:r>
    </w:p>
    <w:p>
      <w:pPr>
        <w:pStyle w:val="Heading1"/>
      </w:pPr>
      <w:r>
        <w:t xml:space="preserve">2. Organização multi-conector</w:t>
      </w:r>
    </w:p>
    <w:p>
      <w:pPr>
        <w:spacing w:after="120"/>
        <w:jc w:val="both"/>
      </w:pPr>
      <w:r>
        <w:rPr>
          <w:b w:val="false"/>
          <w:bCs w:val="false"/>
          <w:i w:val="false"/>
          <w:iCs w:val="false"/>
        </w:rPr>
        <w:t xml:space="preserve">Cada conector usa um prefixo próprio no schema dbo, no padrão dbo.{CONECTOR}_{ENTIDADE}. Adicionar um novo conector é apenas criar suas tabelas com o prefixo correspondente — sem novo banco.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1926"/>
      </w:tblGrid>
      <w:tr>
        <w:trPr>
          <w:tblHeader/>
        </w:trPr>
        <w:tc>
          <w:tcPr>
            <w:tcW w:type="dxa" w:w="2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Prefixo</w:t>
            </w:r>
          </w:p>
        </w:tc>
        <w:tc>
          <w:tcPr>
            <w:tcW w:type="dxa" w:w="4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Conector</w:t>
            </w:r>
          </w:p>
        </w:tc>
        <w:tc>
          <w:tcPr>
            <w:tcW w:type="dxa" w:w="192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Situação</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dbo.SOLINFTEC_*</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API Solinftec — operação e meteorologia</w:t>
            </w:r>
          </w:p>
        </w:tc>
        <w:tc>
          <w:tcPr>
            <w:tcW w:type="dxa" w:w="19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Implementado</w:t>
            </w:r>
          </w:p>
        </w:tc>
      </w:tr>
      <w:tr>
        <w:tc>
          <w:tcPr>
            <w:tcW w:type="dxa" w:w="2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dbo.FARMBOX_*</w:t>
            </w:r>
          </w:p>
        </w:tc>
        <w:tc>
          <w:tcPr>
            <w:tcW w:type="dxa" w:w="4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Farmbox — recomendação técnica e APs</w:t>
            </w:r>
          </w:p>
        </w:tc>
        <w:tc>
          <w:tcPr>
            <w:tcW w:type="dxa" w:w="192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Futuro</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dbo.IRRICONTROL_*</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IrriControl — telemetria de pivôs</w:t>
            </w:r>
          </w:p>
        </w:tc>
        <w:tc>
          <w:tcPr>
            <w:tcW w:type="dxa" w:w="19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Futuro</w:t>
            </w:r>
          </w:p>
        </w:tc>
      </w:tr>
      <w:tr>
        <w:tc>
          <w:tcPr>
            <w:tcW w:type="dxa" w:w="2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dbo.(outros)_*</w:t>
            </w:r>
          </w:p>
        </w:tc>
        <w:tc>
          <w:tcPr>
            <w:tcW w:type="dxa" w:w="4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Pelican, Sensor de Solo e demais APIs</w:t>
            </w:r>
          </w:p>
        </w:tc>
        <w:tc>
          <w:tcPr>
            <w:tcW w:type="dxa" w:w="192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Futuro</w:t>
            </w:r>
          </w:p>
        </w:tc>
      </w:tr>
    </w:tbl>
    <w:p>
      <w:pPr>
        <w:spacing w:after="60"/>
      </w:pPr>
    </w:p>
    <w:p>
      <w:pPr>
        <w:spacing w:after="120"/>
        <w:jc w:val="both"/>
      </w:pPr>
      <w:r>
        <w:rPr>
          <w:b w:val="false"/>
          <w:bCs w:val="false"/>
          <w:i w:val="false"/>
          <w:iCs w:val="false"/>
        </w:rPr>
        <w:t xml:space="preserve">A plataforma trabalha com dois bancos de papéis distintos: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Banco</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Papel</w:t>
            </w:r>
          </w:p>
        </w:tc>
        <w:tc>
          <w:tcPr>
            <w:tcW w:type="dxa" w:w="402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Conteúdo</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CONNECTOR_GCS_FARM</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Bruto (raw)</w:t>
            </w:r>
          </w:p>
        </w:tc>
        <w:tc>
          <w:tcPr>
            <w:tcW w:type="dxa" w:w="4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Dados crus por conector, em JSON (este documento).</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GCS_FARM</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Master (processado)</w:t>
            </w:r>
          </w:p>
        </w:tc>
        <w:tc>
          <w:tcPr>
            <w:tcW w:type="dxa" w:w="402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Dados tratados e modelados: users, type_users, farms, fields, operations, etc.</w:t>
            </w:r>
          </w:p>
        </w:tc>
      </w:tr>
    </w:tbl>
    <w:p>
      <w:pPr>
        <w:spacing w:after="60"/>
      </w:pPr>
    </w:p>
    <w:p>
      <w:pPr>
        <w:spacing w:after="120"/>
      </w:pPr>
      <w:r>
        <w:rPr>
          <w:b w:val="false"/>
          <w:bCs w:val="false"/>
          <w:i/>
          <w:iCs/>
        </w:rPr>
        <w:t xml:space="preserve">O fluxo geral: API → CONNECTOR_GCS_FARM (raw) → ETL/shredding → GCS_FARM (master) → dashboards e relatórios.</w:t>
      </w:r>
    </w:p>
    <w:p>
      <w:pPr>
        <w:pStyle w:val="Heading1"/>
      </w:pPr>
      <w:r>
        <w:t xml:space="preserve">3. Convenções e padrões</w:t>
      </w:r>
    </w:p>
    <w:p>
      <w:pPr>
        <w:pStyle w:val="ListParagraph"/>
        <w:numPr>
          <w:ilvl w:val="0"/>
          <w:numId w:val="2"/>
        </w:numPr>
        <w:spacing w:after="60"/>
      </w:pPr>
      <w:r>
        <w:t xml:space="preserve">Schema dbo; cada conector usa um prefixo próprio (SOLINFTEC_, FARMBOX_, IRRICONTROL_, ...) no padrão dbo.{CONECTOR}_{ENTIDADE}.</w:t>
      </w:r>
    </w:p>
    <w:p>
      <w:pPr>
        <w:pStyle w:val="ListParagraph"/>
        <w:numPr>
          <w:ilvl w:val="0"/>
          <w:numId w:val="2"/>
        </w:numPr>
        <w:spacing w:after="60"/>
      </w:pPr>
      <w:r>
        <w:t xml:space="preserve">Identificadores (tabelas e colunas) em inglês; documentação e comentários em português.</w:t>
      </w:r>
    </w:p>
    <w:p>
      <w:pPr>
        <w:pStyle w:val="ListParagraph"/>
        <w:numPr>
          <w:ilvl w:val="0"/>
          <w:numId w:val="2"/>
        </w:numPr>
        <w:spacing w:after="60"/>
      </w:pPr>
      <w:r>
        <w:t xml:space="preserve">JSON armazenado em NVARCHAR(MAX) com restrição CHECK (ISJSON(coluna) = 1) — SQL Server não tem tipo JSON nativo.</w:t>
      </w:r>
    </w:p>
    <w:p>
      <w:pPr>
        <w:pStyle w:val="ListParagraph"/>
        <w:numPr>
          <w:ilvl w:val="0"/>
          <w:numId w:val="2"/>
        </w:numPr>
        <w:spacing w:after="60"/>
      </w:pPr>
      <w:r>
        <w:t xml:space="preserve">Datas e horas em DATETIME2(3), gravadas em UTC com SYSUTCDATETIME().</w:t>
      </w:r>
    </w:p>
    <w:p>
      <w:pPr>
        <w:pStyle w:val="ListParagraph"/>
        <w:numPr>
          <w:ilvl w:val="0"/>
          <w:numId w:val="2"/>
        </w:numPr>
        <w:spacing w:after="60"/>
      </w:pPr>
      <w:r>
        <w:t xml:space="preserve">Idempotência garantida por chaves UNIQUE: reprocessar o mesmo dia não duplica registros (carga via MERGE).</w:t>
      </w:r>
    </w:p>
    <w:p>
      <w:pPr>
        <w:pStyle w:val="ListParagraph"/>
        <w:numPr>
          <w:ilvl w:val="0"/>
          <w:numId w:val="2"/>
        </w:numPr>
        <w:spacing w:after="60"/>
      </w:pPr>
      <w:r>
        <w:t xml:space="preserve">Colunas-chave promovidas para fora do JSON (record_id, equipment_code, local_datetime) para indexação e deduplicação.</w:t>
      </w:r>
    </w:p>
    <w:p>
      <w:pPr>
        <w:pStyle w:val="ListParagraph"/>
        <w:numPr>
          <w:ilvl w:val="0"/>
          <w:numId w:val="2"/>
        </w:numPr>
        <w:spacing w:after="60"/>
      </w:pPr>
      <w:r>
        <w:t xml:space="preserve">Credenciais (cliente, senha, token) nunca são gravadas no banco; ficam em cofre/variável de ambiente.</w:t>
      </w:r>
    </w:p>
    <w:p>
      <w:pPr>
        <w:pStyle w:val="Heading1"/>
      </w:pPr>
      <w:r>
        <w:t xml:space="preserve">4. Conector Solinftec — tabelas</w:t>
      </w:r>
    </w:p>
    <w:p>
      <w:pPr>
        <w:spacing w:after="120"/>
        <w:jc w:val="both"/>
      </w:pPr>
      <w:r>
        <w:rPr>
          <w:b w:val="false"/>
          <w:bCs w:val="false"/>
          <w:i w:val="false"/>
          <w:iCs w:val="false"/>
        </w:rPr>
        <w:t xml:space="preserve">O conector Solinftec tem cinco tabelas (duas de controle e três de dados brutos) e uma view de apoio.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126"/>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Tabela</w:t>
            </w:r>
          </w:p>
        </w:tc>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Papel</w:t>
            </w:r>
          </w:p>
        </w:tc>
        <w:tc>
          <w:tcPr>
            <w:tcW w:type="dxa" w:w="412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Conteúdo</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dbo.SOLINFTEC_INGESTION_LOG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Controle</w:t>
            </w:r>
          </w:p>
        </w:tc>
        <w:tc>
          <w:tcPr>
            <w:tcW w:type="dxa" w:w="41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Uma linha por execução (dia + fonte); status, tentativas e totais.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dbo.SOLINFTEC_INTEGRATION_ERROR</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Controle</w:t>
            </w:r>
          </w:p>
        </w:tc>
        <w:tc>
          <w:tcPr>
            <w:tcW w:type="dxa" w:w="412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Erros de integração; aceita erro órfão (sem execução).</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dbo.SOLINFTEC_RESPONSE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Bruto</w:t>
            </w:r>
          </w:p>
        </w:tc>
        <w:tc>
          <w:tcPr>
            <w:tcW w:type="dxa" w:w="41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Página completa da resposta /pull, para auditoria.</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dbo.SOLINFTEC_OPERATION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Bruto</w:t>
            </w:r>
          </w:p>
        </w:tc>
        <w:tc>
          <w:tcPr>
            <w:tcW w:type="dxa" w:w="412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API 22 — apontamentos de operação (1 linha por CD_ID).</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dbo.SOLINFTEC_WEATHER</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Bruto</w:t>
            </w:r>
          </w:p>
        </w:tc>
        <w:tc>
          <w:tcPr>
            <w:tcW w:type="dxa" w:w="41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API 21 — meteorologia (1 linha por equipamento + hora).</w:t>
            </w:r>
          </w:p>
        </w:tc>
      </w:tr>
    </w:tbl>
    <w:p>
      <w:pPr>
        <w:pStyle w:val="Heading1"/>
        <w:pageBreakBefore/>
      </w:pPr>
      <w:r>
        <w:t xml:space="preserve">5. Dicionário de dados (Solinftec)</w:t>
      </w:r>
    </w:p>
    <w:p>
      <w:pPr>
        <w:pStyle w:val="Heading2"/>
        <w:spacing w:after="80" w:before="200"/>
      </w:pPr>
      <w:r>
        <w:rPr>
          <w:rFonts w:ascii="Consolas" w:cs="Consolas" w:eastAsia="Consolas" w:hAnsi="Consolas"/>
        </w:rPr>
        <w:t xml:space="preserve">dbo.SOLINFTEC_INGESTION_LOG</w:t>
      </w:r>
    </w:p>
    <w:p>
      <w:pPr>
        <w:spacing w:after="120"/>
      </w:pPr>
      <w:r>
        <w:rPr>
          <w:b w:val="false"/>
          <w:bCs w:val="false"/>
          <w:i/>
          <w:iCs/>
        </w:rPr>
        <w:t xml:space="preserve">Controle de cada execução do conector. O dia bem-sucedido é o registro com status =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0"/>
        <w:gridCol w:w="1760"/>
        <w:gridCol w:w="720"/>
        <w:gridCol w:w="820"/>
        <w:gridCol w:w="3746"/>
      </w:tblGrid>
      <w:tr>
        <w:trPr>
          <w:tblHeader/>
        </w:trPr>
        <w:tc>
          <w:tcPr>
            <w:tcW w:type="dxa" w:w="19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Coluna</w:t>
            </w:r>
          </w:p>
        </w:tc>
        <w:tc>
          <w:tcPr>
            <w:tcW w:type="dxa" w:w="1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Tipo</w:t>
            </w:r>
          </w:p>
        </w:tc>
        <w:tc>
          <w:tcPr>
            <w:tcW w:type="dxa" w:w="7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Nulo</w:t>
            </w:r>
          </w:p>
        </w:tc>
        <w:tc>
          <w:tcPr>
            <w:tcW w:type="dxa" w:w="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Chave</w:t>
            </w:r>
          </w:p>
        </w:tc>
        <w:tc>
          <w:tcPr>
            <w:tcW w:type="dxa" w:w="374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Descrição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bigint identity</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PK</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Identificador da execução.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source</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varchar(10)</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Fonte: OPERATION ou WEATHER.</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api_identifier</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varchar(4)</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UQ</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Código da API: 22 (operação) ou 21 (meteorologia).</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reference_date</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UQ</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Dia coletado (D-1).</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status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varchar(15)</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IN_PROGRESS, SUCCESS, PARTIAL ou ERROR.</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total_pages</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Total de páginas informado pela API.</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pages_loaded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Páginas efetivamente gravadas.</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total_rows</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Total de linhas informado pela API.</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rows_loaded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Linhas efetivamente gravadas.</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attempt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Número da tentativa do dia.</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started_at</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Início da execução (UTC).</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finished_at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Fim da execução (UTC).</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notes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Observações livres.</w:t>
            </w:r>
          </w:p>
        </w:tc>
      </w:tr>
    </w:tbl>
    <w:p>
      <w:pPr>
        <w:spacing w:after="60"/>
      </w:pPr>
    </w:p>
    <w:p>
      <w:pPr>
        <w:spacing w:after="120"/>
      </w:pPr>
      <w:r>
        <w:rPr>
          <w:b w:val="false"/>
          <w:bCs w:val="false"/>
          <w:i/>
          <w:iCs/>
        </w:rPr>
        <w:t xml:space="preserve">Chave única: (api_identifier, reference_date) — uma execução por API/dia.</w:t>
      </w:r>
    </w:p>
    <w:p>
      <w:pPr>
        <w:pStyle w:val="Heading2"/>
        <w:spacing w:after="80" w:before="200"/>
      </w:pPr>
      <w:r>
        <w:rPr>
          <w:rFonts w:ascii="Consolas" w:cs="Consolas" w:eastAsia="Consolas" w:hAnsi="Consolas"/>
        </w:rPr>
        <w:t xml:space="preserve">dbo.SOLINFTEC_INTEGRATION_ERROR</w:t>
      </w:r>
    </w:p>
    <w:p>
      <w:pPr>
        <w:spacing w:after="120"/>
      </w:pPr>
      <w:r>
        <w:rPr>
          <w:b w:val="false"/>
          <w:bCs w:val="false"/>
          <w:i/>
          <w:iCs/>
        </w:rPr>
        <w:t xml:space="preserve">Registra falhas de integração. Aceita erro órfão (ingestion_id nulo) para falhas anteriores à abertura da execução.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0"/>
        <w:gridCol w:w="1760"/>
        <w:gridCol w:w="720"/>
        <w:gridCol w:w="820"/>
        <w:gridCol w:w="3746"/>
      </w:tblGrid>
      <w:tr>
        <w:trPr>
          <w:tblHeader/>
        </w:trPr>
        <w:tc>
          <w:tcPr>
            <w:tcW w:type="dxa" w:w="19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Coluna</w:t>
            </w:r>
          </w:p>
        </w:tc>
        <w:tc>
          <w:tcPr>
            <w:tcW w:type="dxa" w:w="1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Tipo</w:t>
            </w:r>
          </w:p>
        </w:tc>
        <w:tc>
          <w:tcPr>
            <w:tcW w:type="dxa" w:w="7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Nulo</w:t>
            </w:r>
          </w:p>
        </w:tc>
        <w:tc>
          <w:tcPr>
            <w:tcW w:type="dxa" w:w="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Chave</w:t>
            </w:r>
          </w:p>
        </w:tc>
        <w:tc>
          <w:tcPr>
            <w:tcW w:type="dxa" w:w="374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Descrição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bigint identity</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PK</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Identificador do erro.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ingestion_id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bigint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FK</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Execução relacionada; NULL para erro órfão.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source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varchar(10)</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Contexto da fonte (erro órfão).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reference_date</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Contexto do dia (erro órfão).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page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Página em que ocorreu.</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stage</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varchar(20)</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Etapa: AUTH, PULL, PARSE ou PERSIST.</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http_status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Código HTTP retornado.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error_class</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varchar(150)</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Classe/identificação do erro.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message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Mensagem detalhada.</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request_payload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 · json</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Corpo enviado (sem credenciais).</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response_payload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 · json</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Corpo/erro recebido.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occurred_at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Momento do erro (UTC).</w:t>
            </w:r>
          </w:p>
        </w:tc>
      </w:tr>
    </w:tbl>
    <w:p>
      <w:pPr>
        <w:spacing w:after="60"/>
      </w:pPr>
    </w:p>
    <w:p>
      <w:pPr>
        <w:pStyle w:val="Heading2"/>
        <w:spacing w:after="80" w:before="200"/>
      </w:pPr>
      <w:r>
        <w:rPr>
          <w:rFonts w:ascii="Consolas" w:cs="Consolas" w:eastAsia="Consolas" w:hAnsi="Consolas"/>
        </w:rPr>
        <w:t xml:space="preserve">dbo.SOLINFTEC_RESPONSE</w:t>
      </w:r>
    </w:p>
    <w:p>
      <w:pPr>
        <w:spacing w:after="120"/>
      </w:pPr>
      <w:r>
        <w:rPr>
          <w:b w:val="false"/>
          <w:bCs w:val="false"/>
          <w:i/>
          <w:iCs/>
        </w:rPr>
        <w:t xml:space="preserve">Guarda a página completa da resposta /pull, como recebida — cópia fiel para auditoria.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0"/>
        <w:gridCol w:w="1760"/>
        <w:gridCol w:w="720"/>
        <w:gridCol w:w="820"/>
        <w:gridCol w:w="3746"/>
      </w:tblGrid>
      <w:tr>
        <w:trPr>
          <w:tblHeader/>
        </w:trPr>
        <w:tc>
          <w:tcPr>
            <w:tcW w:type="dxa" w:w="19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Coluna</w:t>
            </w:r>
          </w:p>
        </w:tc>
        <w:tc>
          <w:tcPr>
            <w:tcW w:type="dxa" w:w="1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Tipo</w:t>
            </w:r>
          </w:p>
        </w:tc>
        <w:tc>
          <w:tcPr>
            <w:tcW w:type="dxa" w:w="7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Nulo</w:t>
            </w:r>
          </w:p>
        </w:tc>
        <w:tc>
          <w:tcPr>
            <w:tcW w:type="dxa" w:w="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Chave</w:t>
            </w:r>
          </w:p>
        </w:tc>
        <w:tc>
          <w:tcPr>
            <w:tcW w:type="dxa" w:w="374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Descrição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bigint identity</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PK</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Identificador da página.</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ingestion_id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bigint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FK</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Execução que gerou a página.</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page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UQ</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Número da página.</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page_size</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Tamanho da página informado pela API.</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total_rows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Total de linhas informado pela API.</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total_pages</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Total de páginas informado pela API.</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body</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 · json</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Resposta /pull completa da página.</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loaded_at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Momento da gravação (UTC).</w:t>
            </w:r>
          </w:p>
        </w:tc>
      </w:tr>
    </w:tbl>
    <w:p>
      <w:pPr>
        <w:spacing w:after="60"/>
      </w:pPr>
    </w:p>
    <w:p>
      <w:pPr>
        <w:spacing w:after="120"/>
      </w:pPr>
      <w:r>
        <w:rPr>
          <w:b w:val="false"/>
          <w:bCs w:val="false"/>
          <w:i/>
          <w:iCs/>
        </w:rPr>
        <w:t xml:space="preserve">Chave única: (ingestion_id, page).</w:t>
      </w:r>
    </w:p>
    <w:p>
      <w:pPr>
        <w:pStyle w:val="Heading2"/>
        <w:spacing w:after="80" w:before="200"/>
      </w:pPr>
      <w:r>
        <w:rPr>
          <w:rFonts w:ascii="Consolas" w:cs="Consolas" w:eastAsia="Consolas" w:hAnsi="Consolas"/>
        </w:rPr>
        <w:t xml:space="preserve">dbo.SOLINFTEC_OPERATION</w:t>
      </w:r>
    </w:p>
    <w:p>
      <w:pPr>
        <w:spacing w:after="120"/>
      </w:pPr>
      <w:r>
        <w:rPr>
          <w:b w:val="false"/>
          <w:bCs w:val="false"/>
          <w:i/>
          <w:iCs/>
        </w:rPr>
        <w:t xml:space="preserve">API 22 — um registro por apontamento de operação. record_id (CD_ID) é único globalmente.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0"/>
        <w:gridCol w:w="1760"/>
        <w:gridCol w:w="720"/>
        <w:gridCol w:w="820"/>
        <w:gridCol w:w="3746"/>
      </w:tblGrid>
      <w:tr>
        <w:trPr>
          <w:tblHeader/>
        </w:trPr>
        <w:tc>
          <w:tcPr>
            <w:tcW w:type="dxa" w:w="19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Coluna</w:t>
            </w:r>
          </w:p>
        </w:tc>
        <w:tc>
          <w:tcPr>
            <w:tcW w:type="dxa" w:w="1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Tipo</w:t>
            </w:r>
          </w:p>
        </w:tc>
        <w:tc>
          <w:tcPr>
            <w:tcW w:type="dxa" w:w="7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Nulo</w:t>
            </w:r>
          </w:p>
        </w:tc>
        <w:tc>
          <w:tcPr>
            <w:tcW w:type="dxa" w:w="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Chave</w:t>
            </w:r>
          </w:p>
        </w:tc>
        <w:tc>
          <w:tcPr>
            <w:tcW w:type="dxa" w:w="374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Descrição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bigint identity</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PK</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Identificador interno.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ingestion_id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bigint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FK</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Execução que trouxe o registro.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page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Página de origem.</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record_id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bigint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UQ</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CD_ID do apontamento (único global).</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record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 · json</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Objeto cru do apontamento.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loaded_at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Momento da gravação (UTC).</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processed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Marcador do ETL (0 = pendente).</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processed_at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Momento do processamento pelo ETL.</w:t>
            </w:r>
          </w:p>
        </w:tc>
      </w:tr>
    </w:tbl>
    <w:p>
      <w:pPr>
        <w:spacing w:after="60"/>
      </w:pPr>
    </w:p>
    <w:p>
      <w:pPr>
        <w:spacing w:after="120"/>
      </w:pPr>
      <w:r>
        <w:rPr>
          <w:b w:val="false"/>
          <w:bCs w:val="false"/>
          <w:i/>
          <w:iCs/>
        </w:rPr>
        <w:t xml:space="preserve">Chave única: (record_id).</w:t>
      </w:r>
    </w:p>
    <w:p>
      <w:pPr>
        <w:pStyle w:val="Heading2"/>
        <w:spacing w:after="80" w:before="200"/>
      </w:pPr>
      <w:r>
        <w:rPr>
          <w:rFonts w:ascii="Consolas" w:cs="Consolas" w:eastAsia="Consolas" w:hAnsi="Consolas"/>
        </w:rPr>
        <w:t xml:space="preserve">dbo.SOLINFTEC_WEATHER</w:t>
      </w:r>
    </w:p>
    <w:p>
      <w:pPr>
        <w:spacing w:after="120"/>
      </w:pPr>
      <w:r>
        <w:rPr>
          <w:b w:val="false"/>
          <w:bCs w:val="false"/>
          <w:i/>
          <w:iCs/>
        </w:rPr>
        <w:t xml:space="preserve">API 21 — um registro por equipamento e hora. A hora local já carrega o 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0"/>
        <w:gridCol w:w="1760"/>
        <w:gridCol w:w="720"/>
        <w:gridCol w:w="820"/>
        <w:gridCol w:w="3746"/>
      </w:tblGrid>
      <w:tr>
        <w:trPr>
          <w:tblHeader/>
        </w:trPr>
        <w:tc>
          <w:tcPr>
            <w:tcW w:type="dxa" w:w="19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Coluna</w:t>
            </w:r>
          </w:p>
        </w:tc>
        <w:tc>
          <w:tcPr>
            <w:tcW w:type="dxa" w:w="1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Tipo</w:t>
            </w:r>
          </w:p>
        </w:tc>
        <w:tc>
          <w:tcPr>
            <w:tcW w:type="dxa" w:w="7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Nulo</w:t>
            </w:r>
          </w:p>
        </w:tc>
        <w:tc>
          <w:tcPr>
            <w:tcW w:type="dxa" w:w="8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Chave</w:t>
            </w:r>
          </w:p>
        </w:tc>
        <w:tc>
          <w:tcPr>
            <w:tcW w:type="dxa" w:w="374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Descrição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bigint identity</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PK</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Identificador interno.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ingestion_id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bigint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FK</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Execução que trouxe o registro.</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page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int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Página de origem.</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source_id</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bigint</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CDID do registro na origem.</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equipment_code</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varchar(20)</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UQ</w:t>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CDEQUIPAMENTO (estação ou pluviômetro).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local_datetime</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UQ</w:t>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DTHRLOCAL (data e hora local).</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record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nvarchar(max) · json</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Objeto cru completo.</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loaded_at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Momento da gravação (UTC).</w:t>
            </w:r>
          </w:p>
        </w:tc>
      </w:tr>
      <w:tr>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processed</w:t>
            </w:r>
          </w:p>
        </w:tc>
        <w:tc>
          <w:tcPr>
            <w:tcW w:type="dxa" w:w="1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rFonts w:ascii="Consolas" w:cs="Consolas" w:eastAsia="Consolas" w:hAnsi="Consolas"/>
                <w:b w:val="false"/>
                <w:bCs w:val="false"/>
                <w:sz w:val="18"/>
                <w:szCs w:val="18"/>
              </w:rPr>
              <w:t xml:space="preserve">bit</w:t>
            </w:r>
          </w:p>
        </w:tc>
        <w:tc>
          <w:tcPr>
            <w:tcW w:type="dxa" w:w="7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Não</w:t>
            </w:r>
          </w:p>
        </w:tc>
        <w:tc>
          <w:tcPr>
            <w:tcW w:type="dxa" w:w="8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sz w:val="18"/>
                <w:szCs w:val="18"/>
              </w:rPr>
              <w:t xml:space="preserve">Marcador do ETL (0 = pendente).</w:t>
            </w:r>
          </w:p>
        </w:tc>
      </w:tr>
      <w:tr>
        <w:tc>
          <w:tcPr>
            <w:tcW w:type="dxa" w:w="19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processed_at</w:t>
            </w:r>
          </w:p>
        </w:tc>
        <w:tc>
          <w:tcPr>
            <w:tcW w:type="dxa" w:w="1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rFonts w:ascii="Consolas" w:cs="Consolas" w:eastAsia="Consolas" w:hAnsi="Consolas"/>
                <w:b w:val="false"/>
                <w:bCs w:val="false"/>
                <w:sz w:val="18"/>
                <w:szCs w:val="18"/>
              </w:rPr>
              <w:t xml:space="preserve">datetime2</w:t>
            </w:r>
          </w:p>
        </w:tc>
        <w:tc>
          <w:tcPr>
            <w:tcW w:type="dxa" w:w="7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Sim</w:t>
            </w:r>
          </w:p>
        </w:tc>
        <w:tc>
          <w:tcPr>
            <w:tcW w:type="dxa" w:w="8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
            </w:r>
          </w:p>
        </w:tc>
        <w:tc>
          <w:tcPr>
            <w:tcW w:type="dxa" w:w="3746"/>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sz w:val="18"/>
                <w:szCs w:val="18"/>
              </w:rPr>
              <w:t xml:space="preserve">Momento do processamento pelo ETL.</w:t>
            </w:r>
          </w:p>
        </w:tc>
      </w:tr>
    </w:tbl>
    <w:p>
      <w:pPr>
        <w:spacing w:after="60"/>
      </w:pPr>
    </w:p>
    <w:p>
      <w:pPr>
        <w:spacing w:after="120"/>
      </w:pPr>
      <w:r>
        <w:rPr>
          <w:b w:val="false"/>
          <w:bCs w:val="false"/>
          <w:i/>
          <w:iCs/>
        </w:rPr>
        <w:t xml:space="preserve">Chave única: (equipment_code, local_datetime).</w:t>
      </w:r>
    </w:p>
    <w:p>
      <w:pPr>
        <w:pStyle w:val="Heading1"/>
        <w:pageBreakBefore/>
      </w:pPr>
      <w:r>
        <w:t xml:space="preserve">6. Relacionamentos</w:t>
      </w:r>
    </w:p>
    <w:p>
      <w:pPr>
        <w:spacing w:after="120"/>
        <w:jc w:val="both"/>
      </w:pPr>
      <w:r>
        <w:rPr>
          <w:b w:val="false"/>
          <w:bCs w:val="false"/>
          <w:i w:val="false"/>
          <w:iCs w:val="false"/>
        </w:rPr>
        <w:t xml:space="preserve">Dentro do conector Solinftec, todas as tabelas-filhas referenciam a execução central por ingestion_id. A SOLINFTEC_INGESTION_LOG é o hub; as demais não repetem api/reference_date (herdam via FK), exceto a SOLINFTEC_INTEGRATION_ERROR, que mantém esse contexto para os erros órfãos.</w:t>
      </w:r>
    </w:p>
    <w:p>
      <w:pPr>
        <w:pStyle w:val="ListParagraph"/>
        <w:numPr>
          <w:ilvl w:val="0"/>
          <w:numId w:val="2"/>
        </w:numPr>
        <w:spacing w:after="60"/>
      </w:pPr>
      <w:r>
        <w:t xml:space="preserve">SOLINFTEC_INTEGRATION_ERROR.ingestion_id → SOLINFTEC_INGESTION_LOG.id (1:N, opcional/NULL).</w:t>
      </w:r>
    </w:p>
    <w:p>
      <w:pPr>
        <w:pStyle w:val="ListParagraph"/>
        <w:numPr>
          <w:ilvl w:val="0"/>
          <w:numId w:val="2"/>
        </w:numPr>
        <w:spacing w:after="60"/>
      </w:pPr>
      <w:r>
        <w:t xml:space="preserve">SOLINFTEC_RESPONSE.ingestion_id → SOLINFTEC_INGESTION_LOG.id (1:N).</w:t>
      </w:r>
    </w:p>
    <w:p>
      <w:pPr>
        <w:pStyle w:val="ListParagraph"/>
        <w:numPr>
          <w:ilvl w:val="0"/>
          <w:numId w:val="2"/>
        </w:numPr>
        <w:spacing w:after="60"/>
      </w:pPr>
      <w:r>
        <w:t xml:space="preserve">SOLINFTEC_OPERATION.ingestion_id → SOLINFTEC_INGESTION_LOG.id (1:N).</w:t>
      </w:r>
    </w:p>
    <w:p>
      <w:pPr>
        <w:pStyle w:val="ListParagraph"/>
        <w:numPr>
          <w:ilvl w:val="0"/>
          <w:numId w:val="2"/>
        </w:numPr>
        <w:spacing w:after="60"/>
      </w:pPr>
      <w:r>
        <w:t xml:space="preserve">SOLINFTEC_WEATHER.ingestion_id → SOLINFTEC_INGESTION_LOG.id (1:N).</w:t>
      </w:r>
    </w:p>
    <w:p>
      <w:pPr>
        <w:spacing w:after="120"/>
        <w:jc w:val="both"/>
      </w:pPr>
      <w:r>
        <w:rPr>
          <w:b w:val="false"/>
          <w:bCs w:val="false"/>
          <w:i w:val="false"/>
          <w:iCs w:val="false"/>
        </w:rPr>
        <w:t xml:space="preserve">Cada novo conector replicará esse mesmo padrão com seu próprio prefixo (ex.: FARMBOX_INGESTION_LOG e suas filhas).</w:t>
      </w:r>
    </w:p>
    <w:p>
      <w:pPr>
        <w:pStyle w:val="Heading1"/>
      </w:pPr>
      <w:r>
        <w:t xml:space="preserve">7. Chaves e idempotência</w:t>
      </w:r>
    </w:p>
    <w:p>
      <w:pPr>
        <w:spacing w:after="120"/>
        <w:jc w:val="both"/>
      </w:pPr>
      <w:r>
        <w:rPr>
          <w:b w:val="false"/>
          <w:bCs w:val="false"/>
          <w:i w:val="false"/>
          <w:iCs w:val="false"/>
        </w:rPr>
        <w:t xml:space="preserve">As chaves UNIQUE garantem que reprocessar um dia não gere duplicidade — a carga usa MERGE sobre essas chaves.</w:t>
      </w:r>
    </w:p>
    <w:p>
      <w:pPr>
        <w:pStyle w:val="ListParagraph"/>
        <w:numPr>
          <w:ilvl w:val="0"/>
          <w:numId w:val="2"/>
        </w:numPr>
        <w:spacing w:after="60"/>
      </w:pPr>
      <w:r>
        <w:t xml:space="preserve">SOLINFTEC_INGESTION_LOG: UNIQUE (api_identifier, reference_date).</w:t>
      </w:r>
    </w:p>
    <w:p>
      <w:pPr>
        <w:pStyle w:val="ListParagraph"/>
        <w:numPr>
          <w:ilvl w:val="0"/>
          <w:numId w:val="2"/>
        </w:numPr>
        <w:spacing w:after="60"/>
      </w:pPr>
      <w:r>
        <w:t xml:space="preserve">SOLINFTEC_RESPONSE: UNIQUE (ingestion_id, page).</w:t>
      </w:r>
    </w:p>
    <w:p>
      <w:pPr>
        <w:pStyle w:val="ListParagraph"/>
        <w:numPr>
          <w:ilvl w:val="0"/>
          <w:numId w:val="2"/>
        </w:numPr>
        <w:spacing w:after="60"/>
      </w:pPr>
      <w:r>
        <w:t xml:space="preserve">SOLINFTEC_OPERATION: UNIQUE (record_id) — CD_ID único global.</w:t>
      </w:r>
    </w:p>
    <w:p>
      <w:pPr>
        <w:pStyle w:val="ListParagraph"/>
        <w:numPr>
          <w:ilvl w:val="0"/>
          <w:numId w:val="2"/>
        </w:numPr>
        <w:spacing w:after="60"/>
      </w:pPr>
      <w:r>
        <w:t xml:space="preserve">SOLINFTEC_WEATHER: UNIQUE (equipment_code, local_datetime).</w:t>
      </w:r>
    </w:p>
    <w:p>
      <w:pPr>
        <w:pStyle w:val="Heading1"/>
      </w:pPr>
      <w:r>
        <w:t xml:space="preserve">8. Fluxo de ingestão</w:t>
      </w:r>
    </w:p>
    <w:p>
      <w:pPr>
        <w:pStyle w:val="ListParagraph"/>
        <w:numPr>
          <w:ilvl w:val="0"/>
          <w:numId w:val="3"/>
        </w:numPr>
        <w:spacing w:after="60"/>
      </w:pPr>
      <w:r>
        <w:t xml:space="preserve">Abrir a execução: INSERT em SOLINFTEC_INGESTION_LOG com status IN_PROGRESS (source, api_identifier, reference_date) e capturar o id.</w:t>
      </w:r>
    </w:p>
    <w:p>
      <w:pPr>
        <w:pStyle w:val="ListParagraph"/>
        <w:numPr>
          <w:ilvl w:val="0"/>
          <w:numId w:val="3"/>
        </w:numPr>
        <w:spacing w:after="60"/>
      </w:pPr>
      <w:r>
        <w:t xml:space="preserve">Autenticar e paginar o /pull. Para cada página: INSERT em SOLINFTEC_RESPONSE (body completo) e MERGE dos registros em SOLINFTEC_OPERATION ou SOLINFTEC_WEATHER.</w:t>
      </w:r>
    </w:p>
    <w:p>
      <w:pPr>
        <w:pStyle w:val="ListParagraph"/>
        <w:numPr>
          <w:ilvl w:val="0"/>
          <w:numId w:val="3"/>
        </w:numPr>
        <w:spacing w:after="60"/>
      </w:pPr>
      <w:r>
        <w:t xml:space="preserve">Fechar a execução: UPDATE em SOLINFTEC_INGESTION_LOG com status SUCCESS, totais (pages_loaded, rows_loaded) e finished_at.</w:t>
      </w:r>
    </w:p>
    <w:p>
      <w:pPr>
        <w:pStyle w:val="ListParagraph"/>
        <w:numPr>
          <w:ilvl w:val="0"/>
          <w:numId w:val="3"/>
        </w:numPr>
        <w:spacing w:after="60"/>
      </w:pPr>
      <w:r>
        <w:t xml:space="preserve">Em caso de falha: INSERT em SOLINFTEC_INTEGRATION_ERROR e marcar a execução como ERROR ou PARTIAL.</w:t>
      </w:r>
    </w:p>
    <w:p>
      <w:pPr>
        <w:pStyle w:val="ListParagraph"/>
        <w:numPr>
          <w:ilvl w:val="0"/>
          <w:numId w:val="3"/>
        </w:numPr>
        <w:spacing w:after="60"/>
      </w:pPr>
      <w:r>
        <w:t xml:space="preserve">O ETL posterior lê os registros com processed = 0, faz o shredding (OPENJSON) para o GCS_FARM e marca processed = 1.</w:t>
      </w:r>
    </w:p>
    <w:p>
      <w:pPr>
        <w:pStyle w:val="Heading1"/>
      </w:pPr>
      <w:r>
        <w:t xml:space="preserve">9. Tratamento de erros</w:t>
      </w:r>
    </w:p>
    <w:p>
      <w:pPr>
        <w:spacing w:after="120"/>
        <w:jc w:val="both"/>
      </w:pPr>
      <w:r>
        <w:rPr>
          <w:b w:val="false"/>
          <w:bCs w:val="false"/>
          <w:i w:val="false"/>
          <w:iCs w:val="false"/>
        </w:rPr>
        <w:t xml:space="preserve">Cada falha é registrada em SOLINFTEC_INTEGRATION_ERROR com a etapa (stage), o código HTTP, a classe do erro e os payloads de requisição e resposta (sem credenciais). Erros que ocorrem antes da abertura da execução (ex.: falha de autenticação) ficam com ingestion_id nulo, preservando source e reference_date como contexto. A view de apoio lista os dias que ainda não fecharam com SUCCESS, servindo de fila de reprocessamento.</w:t>
      </w:r>
    </w:p>
    <w:p>
      <w:pPr>
        <w:pStyle w:val="Heading1"/>
      </w:pPr>
      <w:r>
        <w:t xml:space="preserve">10. Segurança</w:t>
      </w:r>
    </w:p>
    <w:p>
      <w:pPr>
        <w:pStyle w:val="ListParagraph"/>
        <w:numPr>
          <w:ilvl w:val="0"/>
          <w:numId w:val="2"/>
        </w:numPr>
        <w:spacing w:after="60"/>
      </w:pPr>
      <w:r>
        <w:t xml:space="preserve">Credenciais (cliente, senha, token) nunca são persistidas no banco — apenas em cofre/variável de ambiente.</w:t>
      </w:r>
    </w:p>
    <w:p>
      <w:pPr>
        <w:pStyle w:val="ListParagraph"/>
        <w:numPr>
          <w:ilvl w:val="0"/>
          <w:numId w:val="2"/>
        </w:numPr>
        <w:spacing w:after="60"/>
      </w:pPr>
      <w:r>
        <w:t xml:space="preserve">O campo request_payload deve omitir qualquer credencial antes de gravar.</w:t>
      </w:r>
    </w:p>
    <w:p>
      <w:pPr>
        <w:pStyle w:val="ListParagraph"/>
        <w:numPr>
          <w:ilvl w:val="0"/>
          <w:numId w:val="2"/>
        </w:numPr>
        <w:spacing w:after="60"/>
      </w:pPr>
      <w:r>
        <w:t xml:space="preserve">Restrições ISJSON impedem a gravação de conteúdo inválido nas colunas JSON.</w:t>
      </w:r>
    </w:p>
    <w:p>
      <w:pPr>
        <w:pStyle w:val="ListParagraph"/>
        <w:numPr>
          <w:ilvl w:val="0"/>
          <w:numId w:val="2"/>
        </w:numPr>
        <w:spacing w:after="60"/>
      </w:pPr>
      <w:r>
        <w:t xml:space="preserve">Acesso ao banco raw deve ser restrito ao serviço de ingestão e ao ETL.</w:t>
      </w:r>
    </w:p>
    <w:p>
      <w:pPr>
        <w:pStyle w:val="Heading1"/>
      </w:pPr>
      <w:r>
        <w:t xml:space="preserve">11. Objetos auxiliares</w:t>
      </w:r>
    </w:p>
    <w:p>
      <w:pPr>
        <w:spacing w:after="120"/>
        <w:jc w:val="both"/>
      </w:pPr>
      <w:r>
        <w:rPr>
          <w:b w:val="false"/>
          <w:bCs w:val="false"/>
          <w:i w:val="false"/>
          <w:iCs w:val="false"/>
        </w:rPr>
        <w:t xml:space="preserve">dbo.SOLINFTEC_PENDING_DAYS — view que lista, por fonte, os dias dos últimos 30 que ainda não têm execução com status SUCCESS. É a lista de lacunas para reprocessamento.</w:t>
      </w:r>
    </w:p>
    <w:p>
      <w:pPr>
        <w:pStyle w:val="Heading1"/>
      </w:pPr>
      <w:r>
        <w:t xml:space="preserve">12. Próximos passos</w:t>
      </w:r>
    </w:p>
    <w:p>
      <w:pPr>
        <w:pStyle w:val="ListParagraph"/>
        <w:numPr>
          <w:ilvl w:val="0"/>
          <w:numId w:val="3"/>
        </w:numPr>
        <w:spacing w:after="60"/>
      </w:pPr>
      <w:r>
        <w:t xml:space="preserve">Implementar o conector Solinftec que popula esta camada (autenticação, paginação, encadeamento de token e carga via MERGE).</w:t>
      </w:r>
    </w:p>
    <w:p>
      <w:pPr>
        <w:pStyle w:val="ListParagraph"/>
        <w:numPr>
          <w:ilvl w:val="0"/>
          <w:numId w:val="3"/>
        </w:numPr>
        <w:spacing w:after="60"/>
      </w:pPr>
      <w:r>
        <w:t xml:space="preserve">Escrever a procedure de shredding (OPENJSON) que transforma o raw em dimensões e fatos do GCS_FARM.</w:t>
      </w:r>
    </w:p>
    <w:p>
      <w:pPr>
        <w:pStyle w:val="ListParagraph"/>
        <w:numPr>
          <w:ilvl w:val="0"/>
          <w:numId w:val="3"/>
        </w:numPr>
        <w:spacing w:after="60"/>
      </w:pPr>
      <w:r>
        <w:t xml:space="preserve">Agendar a execução diária (janela D-1) com monitoramento via SOLINFTEC_PENDING_DAYS.</w:t>
      </w:r>
    </w:p>
    <w:p>
      <w:pPr>
        <w:pStyle w:val="ListParagraph"/>
        <w:numPr>
          <w:ilvl w:val="0"/>
          <w:numId w:val="3"/>
        </w:numPr>
        <w:spacing w:after="60"/>
      </w:pPr>
      <w:r>
        <w:t xml:space="preserve">Replicar o padrão de tabelas para os próximos conectores (FARMBOX_, IRRICONTROL_,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GCS Connection Farm · Confidencial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808080"/>
        <w:sz w:val="16"/>
        <w:szCs w:val="16"/>
      </w:rPr>
      <w:t xml:space="preserve">CONNECTOR_GCS_FARM — Documentação do DBA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CONNECTOR_GCS_FARM — Documentação do DBA</dc:title>
  <dc:creator>GCS Agro</dc:creator>
  <cp:lastModifiedBy>Un-named</cp:lastModifiedBy>
  <cp:revision>1</cp:revision>
  <dcterms:created xsi:type="dcterms:W3CDTF">2026-06-22T15:10:51.413Z</dcterms:created>
  <dcterms:modified xsi:type="dcterms:W3CDTF">2026-06-22T15:10:51.414Z</dcterms:modified>
</cp:coreProperties>
</file>

<file path=docProps/custom.xml><?xml version="1.0" encoding="utf-8"?>
<Properties xmlns="http://schemas.openxmlformats.org/officeDocument/2006/custom-properties" xmlns:vt="http://schemas.openxmlformats.org/officeDocument/2006/docPropsVTypes"/>
</file>