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F6684E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 w:rsidR="00594284" w:rsidRPr="00936941">
        <w:rPr>
          <w:rFonts w:ascii="Times New Roman" w:hAnsi="Times New Roman" w:cs="Times New Roman"/>
          <w:i/>
          <w:sz w:val="24"/>
        </w:rPr>
        <w:t>Service</w:t>
      </w:r>
      <w:proofErr w:type="spellEnd"/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</w:t>
      </w:r>
      <w:proofErr w:type="gramStart"/>
      <w:r w:rsidR="00594284" w:rsidRPr="00594284">
        <w:rPr>
          <w:rFonts w:ascii="Times New Roman" w:hAnsi="Times New Roman" w:cs="Times New Roman"/>
          <w:sz w:val="24"/>
        </w:rPr>
        <w:t>implementam</w:t>
      </w:r>
      <w:proofErr w:type="gramEnd"/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 xml:space="preserve">Web </w:t>
      </w:r>
      <w:proofErr w:type="spellStart"/>
      <w:r w:rsidR="00732AAF">
        <w:rPr>
          <w:rFonts w:ascii="Times New Roman" w:hAnsi="Times New Roman" w:cs="Times New Roman"/>
          <w:sz w:val="24"/>
        </w:rPr>
        <w:t>Service</w:t>
      </w:r>
      <w:proofErr w:type="spellEnd"/>
      <w:r w:rsidR="00732AAF">
        <w:rPr>
          <w:rFonts w:ascii="Times New Roman" w:hAnsi="Times New Roman" w:cs="Times New Roman"/>
          <w:sz w:val="24"/>
        </w:rPr>
        <w:t>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910AB" w:rsidRDefault="00D910AB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872979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4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5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7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0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2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Simple Object Access Protocol - SOAP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JSON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4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Web Services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5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7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Modelagem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0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6684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F6684E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98729793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398729794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m as necessidades da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 w:rsidRPr="006272F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Para fechar utilizar a região como referencia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8729795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Aplicações inteligentes que nos forneçam informações precisas, rápidas são indispensáveis devido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398729796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informação destinado </w:t>
      </w:r>
      <w:proofErr w:type="gramStart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98729797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(UML)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987297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fornecer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3987297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987298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398729801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</w:t>
      </w:r>
      <w:proofErr w:type="gramStart"/>
      <w:r>
        <w:rPr>
          <w:rFonts w:ascii="Times New Roman" w:hAnsi="Times New Roman" w:cs="Times New Roman"/>
          <w:sz w:val="24"/>
          <w:szCs w:val="24"/>
        </w:rPr>
        <w:t>SOA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 de aplicações baseadas em serviços, SOA é composto de três elementos que representam papéis distintos de interação: o consumidor do serviço, o prestador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746125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surgindo a ideia de processos de negócios. Utilizando </w:t>
      </w:r>
      <w:proofErr w:type="gramStart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SOA</w:t>
      </w:r>
      <w:proofErr w:type="gramEnd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alterados de maneira rápida e eficiente. O tempo de desenvolvimento utilizando em ambientes que passam por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adequado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geralmente,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P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D94" w:rsidRPr="00BC4D94" w:rsidRDefault="00221675" w:rsidP="00BC4D94">
      <w:pPr>
        <w:pStyle w:val="Ttulo1"/>
        <w:numPr>
          <w:ilvl w:val="2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lang w:val="en-US"/>
        </w:rPr>
      </w:pPr>
      <w:r w:rsidRPr="009D3AAD">
        <w:rPr>
          <w:rFonts w:ascii="Times New Roman" w:hAnsi="Times New Roman" w:cs="Times New Roman"/>
          <w:b w:val="0"/>
          <w:color w:val="auto"/>
        </w:rPr>
        <w:t xml:space="preserve"> </w:t>
      </w:r>
      <w:bookmarkStart w:id="10" w:name="_Toc398729802"/>
      <w:r w:rsidR="00BC4D94">
        <w:rPr>
          <w:rFonts w:ascii="Times New Roman" w:hAnsi="Times New Roman" w:cs="Times New Roman"/>
          <w:b w:val="0"/>
          <w:color w:val="auto"/>
        </w:rPr>
        <w:t xml:space="preserve">Governança </w:t>
      </w:r>
    </w:p>
    <w:bookmarkEnd w:id="10"/>
    <w:p w:rsidR="00752641" w:rsidRPr="00221675" w:rsidRDefault="00752641" w:rsidP="00BC4D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398729804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1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D549D1" w:rsidRPr="00D549D1" w:rsidRDefault="00D549D1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398729805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</w:t>
      </w:r>
      <w:proofErr w:type="spell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Officer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t>Recomind</w:t>
      </w:r>
      <w:proofErr w:type="spellEnd"/>
      <w:r w:rsidRPr="001A0081">
        <w:rPr>
          <w:rFonts w:ascii="Times New Roman" w:hAnsi="Times New Roman" w:cs="Times New Roman"/>
          <w:sz w:val="28"/>
          <w:szCs w:val="24"/>
          <w:u w:val="single"/>
        </w:rPr>
        <w:t>.</w:t>
      </w:r>
      <w:proofErr w:type="gramEnd"/>
      <w:r w:rsidRPr="001A0081">
        <w:rPr>
          <w:rFonts w:ascii="Times New Roman" w:hAnsi="Times New Roman" w:cs="Times New Roman"/>
          <w:sz w:val="28"/>
          <w:szCs w:val="24"/>
          <w:u w:val="single"/>
        </w:rPr>
        <w:t>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adeque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 do Desafio </w:t>
      </w:r>
      <w:proofErr w:type="spell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Sua Ideia Vale </w:t>
      </w:r>
      <w:proofErr w:type="gram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Um Milhão</w:t>
      </w:r>
      <w:proofErr w:type="gram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  <w:lang w:eastAsia="pt-BR"/>
        </w:rPr>
        <w:t>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3" w:name="_Toc398729806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3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elaborando tabelas contendo todos os requisitos funcionais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</w:t>
      </w:r>
      <w:proofErr w:type="gramStart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sistema foi o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Foram utilizadas as ferramentas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ferramenta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98729807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4"/>
    </w:p>
    <w:p w:rsidR="00F53E46" w:rsidRPr="00F53E46" w:rsidRDefault="00F53E46" w:rsidP="00F53E46"/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gramStart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5" w:name="_Toc398729808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5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Jacobson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Afim de</w:t>
      </w:r>
      <w:proofErr w:type="gram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98729809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6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98729810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 xml:space="preserve">. (4ª ed.), Porto Alegre: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>SOMMERVILLE, I. (2011). Engenharia de Software (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 xml:space="preserve"> ed.). (I.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Bosnic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&amp; K. G. de O. Gonçalves,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Trads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.) São Paulo: Pearson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 Hall.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proofErr w:type="spellStart"/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>, J. and Jacobson.</w:t>
      </w:r>
      <w:proofErr w:type="gram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proofErr w:type="gramStart"/>
      <w:r w:rsidRPr="009D3AAD">
        <w:rPr>
          <w:rFonts w:ascii="Times New Roman" w:hAnsi="Times New Roman" w:cs="Times New Roman"/>
          <w:b/>
          <w:sz w:val="24"/>
          <w:szCs w:val="24"/>
        </w:rPr>
        <w:t>Implementando</w:t>
      </w:r>
      <w:proofErr w:type="gramEnd"/>
      <w:r w:rsidRPr="009D3AAD">
        <w:rPr>
          <w:rFonts w:ascii="Times New Roman" w:hAnsi="Times New Roman" w:cs="Times New Roman"/>
          <w:b/>
          <w:sz w:val="24"/>
          <w:szCs w:val="24"/>
        </w:rPr>
        <w:t xml:space="preserve">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ALTA BOOKS</w:t>
      </w:r>
      <w:proofErr w:type="gramEnd"/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Pr="009D3AAD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 xml:space="preserve">. Porto Alegre: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8729811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76B" w:rsidRDefault="0047176B" w:rsidP="00D678B1">
      <w:pPr>
        <w:spacing w:after="0" w:line="240" w:lineRule="auto"/>
      </w:pPr>
      <w:r>
        <w:separator/>
      </w:r>
    </w:p>
  </w:endnote>
  <w:endnote w:type="continuationSeparator" w:id="0">
    <w:p w:rsidR="0047176B" w:rsidRDefault="0047176B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76B" w:rsidRDefault="0047176B" w:rsidP="00D678B1">
      <w:pPr>
        <w:spacing w:after="0" w:line="240" w:lineRule="auto"/>
      </w:pPr>
      <w:r>
        <w:separator/>
      </w:r>
    </w:p>
  </w:footnote>
  <w:footnote w:type="continuationSeparator" w:id="0">
    <w:p w:rsidR="0047176B" w:rsidRDefault="0047176B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081081"/>
      <w:docPartObj>
        <w:docPartGallery w:val="Page Numbers (Top of Page)"/>
        <w:docPartUnique/>
      </w:docPartObj>
    </w:sdtPr>
    <w:sdtContent>
      <w:p w:rsidR="00374C2D" w:rsidRDefault="00F6684E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726B7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382070"/>
      <w:docPartObj>
        <w:docPartGallery w:val="Page Numbers (Top of Page)"/>
        <w:docPartUnique/>
      </w:docPartObj>
    </w:sdtPr>
    <w:sdtContent>
      <w:p w:rsidR="00374C2D" w:rsidRDefault="00F6684E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9D627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7"/>
  </w:num>
  <w:num w:numId="5">
    <w:abstractNumId w:val="26"/>
  </w:num>
  <w:num w:numId="6">
    <w:abstractNumId w:val="3"/>
  </w:num>
  <w:num w:numId="7">
    <w:abstractNumId w:val="19"/>
  </w:num>
  <w:num w:numId="8">
    <w:abstractNumId w:val="10"/>
  </w:num>
  <w:num w:numId="9">
    <w:abstractNumId w:val="29"/>
  </w:num>
  <w:num w:numId="10">
    <w:abstractNumId w:val="5"/>
  </w:num>
  <w:num w:numId="11">
    <w:abstractNumId w:val="27"/>
  </w:num>
  <w:num w:numId="12">
    <w:abstractNumId w:val="14"/>
  </w:num>
  <w:num w:numId="13">
    <w:abstractNumId w:val="25"/>
  </w:num>
  <w:num w:numId="14">
    <w:abstractNumId w:val="6"/>
  </w:num>
  <w:num w:numId="15">
    <w:abstractNumId w:val="21"/>
  </w:num>
  <w:num w:numId="16">
    <w:abstractNumId w:val="17"/>
  </w:num>
  <w:num w:numId="17">
    <w:abstractNumId w:val="16"/>
  </w:num>
  <w:num w:numId="18">
    <w:abstractNumId w:val="28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  <w:num w:numId="23">
    <w:abstractNumId w:val="13"/>
  </w:num>
  <w:num w:numId="24">
    <w:abstractNumId w:val="2"/>
  </w:num>
  <w:num w:numId="25">
    <w:abstractNumId w:val="11"/>
  </w:num>
  <w:num w:numId="26">
    <w:abstractNumId w:val="24"/>
  </w:num>
  <w:num w:numId="27">
    <w:abstractNumId w:val="12"/>
  </w:num>
  <w:num w:numId="28">
    <w:abstractNumId w:val="8"/>
  </w:num>
  <w:num w:numId="29">
    <w:abstractNumId w:val="22"/>
  </w:num>
  <w:num w:numId="30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49D1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7C39AA16-CC78-49B5-BEB4-3569B663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4445</TotalTime>
  <Pages>22</Pages>
  <Words>3477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user</cp:lastModifiedBy>
  <cp:revision>648</cp:revision>
  <cp:lastPrinted>2014-09-06T13:57:00Z</cp:lastPrinted>
  <dcterms:created xsi:type="dcterms:W3CDTF">2014-03-03T15:32:00Z</dcterms:created>
  <dcterms:modified xsi:type="dcterms:W3CDTF">2014-09-18T13:53:00Z</dcterms:modified>
</cp:coreProperties>
</file>