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INSTITUT TEKNOLOGI DAN BISNIS CARNEGIE</w:t>
      </w:r>
    </w:p>
    <w:p>
      <w:pPr>
        <w:pStyle w:val="Title"/>
      </w:pPr>
      <w:r>
        <w:t>SOP OPERASIONAL PORTAL KONTRIBUSI &amp; BEASISWA</w:t>
      </w:r>
    </w:p>
    <w:p>
      <w:r>
        <w:t>CARNEGIE SCHOLARSHIP CONTRIBUTION MANAGEMENT SYSTEM  |  CSC-MS WEB</w:t>
      </w:r>
    </w:p>
    <w:p>
      <w:r>
        <w:t>VERSI 2.0  •  TAHUN AKADEMIK 2027/2028</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74663"/>
          </w:tcPr>
          <w:p>
            <w:pPr>
              <w:spacing w:after="20"/>
            </w:pPr>
            <w:r>
              <w:rPr>
                <w:b/>
                <w:color w:val="FFFFFF"/>
              </w:rPr>
              <w:t>Identitas</w:t>
            </w:r>
          </w:p>
        </w:tc>
        <w:tc>
          <w:tcPr>
            <w:tcW w:type="dxa" w:w="4939"/>
            <w:vAlign w:val="center"/>
            <w:shd w:fill="174663"/>
          </w:tcPr>
          <w:p>
            <w:pPr>
              <w:spacing w:after="20"/>
            </w:pPr>
            <w:r>
              <w:rPr>
                <w:b/>
                <w:color w:val="FFFFFF"/>
              </w:rPr>
              <w:t>Penetapan</w:t>
            </w:r>
          </w:p>
        </w:tc>
      </w:tr>
      <w:tr>
        <w:tc>
          <w:tcPr>
            <w:tcW w:type="dxa" w:w="4939"/>
            <w:vAlign w:val="center"/>
          </w:tcPr>
          <w:p>
            <w:pPr>
              <w:spacing w:after="20"/>
            </w:pPr>
            <w:r>
              <w:t>Dokumen induk</w:t>
            </w:r>
          </w:p>
        </w:tc>
        <w:tc>
          <w:tcPr>
            <w:tcW w:type="dxa" w:w="4939"/>
            <w:vAlign w:val="center"/>
          </w:tcPr>
          <w:p>
            <w:pPr>
              <w:spacing w:after="20"/>
            </w:pPr>
            <w:r>
              <w:t>SK Induk Beasiswa ITB Carnegie TA 2027/2028 dan Perjanjian Penerima Beasiswa</w:t>
            </w:r>
          </w:p>
        </w:tc>
      </w:tr>
      <w:tr>
        <w:tc>
          <w:tcPr>
            <w:tcW w:type="dxa" w:w="4939"/>
            <w:vAlign w:val="center"/>
          </w:tcPr>
          <w:p>
            <w:pPr>
              <w:spacing w:after="20"/>
            </w:pPr>
            <w:r>
              <w:t>Menggantikan</w:t>
            </w:r>
          </w:p>
        </w:tc>
        <w:tc>
          <w:tcPr>
            <w:tcW w:type="dxa" w:w="4939"/>
            <w:vAlign w:val="center"/>
          </w:tcPr>
          <w:p>
            <w:pPr>
              <w:spacing w:after="20"/>
            </w:pPr>
            <w:r>
              <w:t>Media pencatatan manual/Excel terpisah untuk pelaksanaan; substansi SOP pembagian WR I–WR II yang telah disetujui tetap dipertahankan</w:t>
            </w:r>
          </w:p>
        </w:tc>
      </w:tr>
      <w:tr>
        <w:tc>
          <w:tcPr>
            <w:tcW w:type="dxa" w:w="4939"/>
            <w:vAlign w:val="center"/>
          </w:tcPr>
          <w:p>
            <w:pPr>
              <w:spacing w:after="20"/>
            </w:pPr>
            <w:r>
              <w:t>Pemilik proses</w:t>
            </w:r>
          </w:p>
        </w:tc>
        <w:tc>
          <w:tcPr>
            <w:tcW w:type="dxa" w:w="4939"/>
            <w:vAlign w:val="center"/>
          </w:tcPr>
          <w:p>
            <w:pPr>
              <w:spacing w:after="20"/>
            </w:pPr>
            <w:r>
              <w:t>WR I (Akademik &amp; Kegiatan Mahasiswa); WR II (Marketing, Konten &amp; PMB)</w:t>
            </w:r>
          </w:p>
        </w:tc>
      </w:tr>
      <w:tr>
        <w:tc>
          <w:tcPr>
            <w:tcW w:type="dxa" w:w="4939"/>
            <w:vAlign w:val="center"/>
          </w:tcPr>
          <w:p>
            <w:pPr>
              <w:spacing w:after="20"/>
            </w:pPr>
            <w:r>
              <w:t>Administrator sistem</w:t>
            </w:r>
          </w:p>
        </w:tc>
        <w:tc>
          <w:tcPr>
            <w:tcW w:type="dxa" w:w="4939"/>
            <w:vAlign w:val="center"/>
          </w:tcPr>
          <w:p>
            <w:pPr>
              <w:spacing w:after="20"/>
            </w:pPr>
            <w:r>
              <w:t>Rektor / Admin Utama; operator hanya sesuai hak akses</w:t>
            </w:r>
          </w:p>
        </w:tc>
      </w:tr>
      <w:tr>
        <w:tc>
          <w:tcPr>
            <w:tcW w:type="dxa" w:w="4939"/>
            <w:vAlign w:val="center"/>
          </w:tcPr>
          <w:p>
            <w:pPr>
              <w:spacing w:after="20"/>
            </w:pPr>
            <w:r>
              <w:t>Status</w:t>
            </w:r>
          </w:p>
        </w:tc>
        <w:tc>
          <w:tcPr>
            <w:tcW w:type="dxa" w:w="4939"/>
            <w:vAlign w:val="center"/>
          </w:tcPr>
          <w:p>
            <w:pPr>
              <w:spacing w:after="20"/>
            </w:pPr>
            <w:r>
              <w:t>Rancangan SOP digital untuk implementasi portal; berlaku operasional setelah akses, keamanan, dan uji penerimaan disetujui Rektor</w:t>
            </w:r>
          </w:p>
        </w:tc>
      </w:tr>
    </w:tbl>
    <w:p>
      <w:pPr>
        <w:pStyle w:val="Heading1"/>
      </w:pPr>
      <w:r>
        <w:t>1. Tujuan dan ruang lingkup</w:t>
      </w:r>
    </w:p>
    <w:p>
      <w:r>
        <w:t>Portal web CSC-MS adalah satu ruang kerja resmi yang digunakan Rektor, WR I, WR II, operator, PIC/supervisor, PMB, dan Keuangan untuk merencanakan, menugaskan, melaksanakan, memeriksa, serta mengaudit kontribusi penerima beasiswa. Tujuannya mengakhiri pola kehadiran formalitas dan kegiatan tanpa produk akhir.</w:t>
      </w:r>
    </w:p>
    <w:p>
      <w:r>
        <w:t>Prinsip: satu aktivitas = satu ID; setiap tugas memiliki owner, PIC, mahasiswa, tenggat, bukti dan hasil verifikasi. Absensi, kualitas hasil, izin, dan pencapaian program dilacak secara terpisah. Tidak ada penilaian gagal akibat tugas yang tidak diberikan kampus.</w:t>
      </w:r>
    </w:p>
    <w:p>
      <w:pPr>
        <w:pStyle w:val="Heading1"/>
      </w:pPr>
      <w:r>
        <w:t>2. Arsitektur dan identitas portal</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74663"/>
          </w:tcPr>
          <w:p>
            <w:pPr>
              <w:spacing w:after="20"/>
            </w:pPr>
            <w:r>
              <w:rPr>
                <w:b/>
                <w:color w:val="FFFFFF"/>
              </w:rPr>
              <w:t>Lapisan</w:t>
            </w:r>
          </w:p>
        </w:tc>
        <w:tc>
          <w:tcPr>
            <w:tcW w:type="dxa" w:w="4939"/>
            <w:vAlign w:val="center"/>
            <w:shd w:fill="174663"/>
          </w:tcPr>
          <w:p>
            <w:pPr>
              <w:spacing w:after="20"/>
            </w:pPr>
            <w:r>
              <w:rPr>
                <w:b/>
                <w:color w:val="FFFFFF"/>
              </w:rPr>
              <w:t>Ketentuan</w:t>
            </w:r>
          </w:p>
        </w:tc>
      </w:tr>
      <w:tr>
        <w:tc>
          <w:tcPr>
            <w:tcW w:type="dxa" w:w="4939"/>
            <w:vAlign w:val="center"/>
          </w:tcPr>
          <w:p>
            <w:pPr>
              <w:spacing w:after="20"/>
            </w:pPr>
            <w:r>
              <w:t>Akses</w:t>
            </w:r>
          </w:p>
        </w:tc>
        <w:tc>
          <w:tcPr>
            <w:tcW w:type="dxa" w:w="4939"/>
            <w:vAlign w:val="center"/>
          </w:tcPr>
          <w:p>
            <w:pPr>
              <w:spacing w:after="20"/>
            </w:pPr>
            <w:r>
              <w:t>Disarankan portal.itbcarnegie.com (subdomain terpisah dari website publik; pengaturan DNS/hosting dilakukan oleh pemegang akses domain).</w:t>
            </w:r>
          </w:p>
        </w:tc>
      </w:tr>
      <w:tr>
        <w:tc>
          <w:tcPr>
            <w:tcW w:type="dxa" w:w="4939"/>
            <w:vAlign w:val="center"/>
          </w:tcPr>
          <w:p>
            <w:pPr>
              <w:spacing w:after="20"/>
            </w:pPr>
            <w:r>
              <w:t>Antarmuka</w:t>
            </w:r>
          </w:p>
        </w:tc>
        <w:tc>
          <w:tcPr>
            <w:tcW w:type="dxa" w:w="4939"/>
            <w:vAlign w:val="center"/>
          </w:tcPr>
          <w:p>
            <w:pPr>
              <w:spacing w:after="20"/>
            </w:pPr>
            <w:r>
              <w:t>Portal responsif web untuk laptop dan ponsel; login wajib sebelum mengakses data internal.</w:t>
            </w:r>
          </w:p>
        </w:tc>
      </w:tr>
      <w:tr>
        <w:tc>
          <w:tcPr>
            <w:tcW w:type="dxa" w:w="4939"/>
            <w:vAlign w:val="center"/>
          </w:tcPr>
          <w:p>
            <w:pPr>
              <w:spacing w:after="20"/>
            </w:pPr>
            <w:r>
              <w:t>Identitas pengguna</w:t>
            </w:r>
          </w:p>
        </w:tc>
        <w:tc>
          <w:tcPr>
            <w:tcW w:type="dxa" w:w="4939"/>
            <w:vAlign w:val="center"/>
          </w:tcPr>
          <w:p>
            <w:pPr>
              <w:spacing w:after="20"/>
            </w:pPr>
            <w:r>
              <w:t>Username dan password unik per pengguna atau identitas tunggal terkelola. Tidak membuat password default admin/admin. Kata sandi disimpan sebagai hash oleh penyedia autentikasi yang aman, bukan di Google Sheets.</w:t>
            </w:r>
          </w:p>
        </w:tc>
      </w:tr>
      <w:tr>
        <w:tc>
          <w:tcPr>
            <w:tcW w:type="dxa" w:w="4939"/>
            <w:vAlign w:val="center"/>
          </w:tcPr>
          <w:p>
            <w:pPr>
              <w:spacing w:after="20"/>
            </w:pPr>
            <w:r>
              <w:t>Sumber data operasional</w:t>
            </w:r>
          </w:p>
        </w:tc>
        <w:tc>
          <w:tcPr>
            <w:tcW w:type="dxa" w:w="4939"/>
            <w:vAlign w:val="center"/>
          </w:tcPr>
          <w:p>
            <w:pPr>
              <w:spacing w:after="20"/>
            </w:pPr>
            <w:r>
              <w:t>Google Sheets privat yang dimiliki akun organisasi ITB Carnegie: register mahasiswa, tugas, nilai, jadwal, dan persetujuan.</w:t>
            </w:r>
          </w:p>
        </w:tc>
      </w:tr>
      <w:tr>
        <w:tc>
          <w:tcPr>
            <w:tcW w:type="dxa" w:w="4939"/>
            <w:vAlign w:val="center"/>
          </w:tcPr>
          <w:p>
            <w:pPr>
              <w:spacing w:after="20"/>
            </w:pPr>
            <w:r>
              <w:t>Bukti &amp; SOP</w:t>
            </w:r>
          </w:p>
        </w:tc>
        <w:tc>
          <w:tcPr>
            <w:tcW w:type="dxa" w:w="4939"/>
            <w:vAlign w:val="center"/>
          </w:tcPr>
          <w:p>
            <w:pPr>
              <w:spacing w:after="20"/>
            </w:pPr>
            <w:r>
              <w:t>Google Drive organisasi ITB Carnegie: video, gambar, laporan, formulir, SK, perjanjian dan bukti verifikasi; izin terbatas sesuai peran.</w:t>
            </w:r>
          </w:p>
        </w:tc>
      </w:tr>
      <w:tr>
        <w:tc>
          <w:tcPr>
            <w:tcW w:type="dxa" w:w="4939"/>
            <w:vAlign w:val="center"/>
          </w:tcPr>
          <w:p>
            <w:pPr>
              <w:spacing w:after="20"/>
            </w:pPr>
            <w:r>
              <w:t>Integrasi</w:t>
            </w:r>
          </w:p>
        </w:tc>
        <w:tc>
          <w:tcPr>
            <w:tcW w:type="dxa" w:w="4939"/>
            <w:vAlign w:val="center"/>
          </w:tcPr>
          <w:p>
            <w:pPr>
              <w:spacing w:after="20"/>
            </w:pPr>
            <w:r>
              <w:t>Google Sheets API dan Drive API dari backend server; kredensial rahasia disimpan di pengelola secrets hosting, bukan halaman web atau spreadsheet.</w:t>
            </w:r>
          </w:p>
        </w:tc>
      </w:tr>
      <w:tr>
        <w:tc>
          <w:tcPr>
            <w:tcW w:type="dxa" w:w="4939"/>
            <w:vAlign w:val="center"/>
          </w:tcPr>
          <w:p>
            <w:pPr>
              <w:spacing w:after="20"/>
            </w:pPr>
            <w:r>
              <w:t>Keamanan minimum</w:t>
            </w:r>
          </w:p>
        </w:tc>
        <w:tc>
          <w:tcPr>
            <w:tcW w:type="dxa" w:w="4939"/>
            <w:vAlign w:val="center"/>
          </w:tcPr>
          <w:p>
            <w:pPr>
              <w:spacing w:after="20"/>
            </w:pPr>
            <w:r>
              <w:t>HTTPS; sesi login berakhir otomatis; otorisasi per-peran pada SERVER untuk setiap aksi; log audit; backup; 2FA untuk admin jika tersedia.</w:t>
            </w:r>
          </w:p>
        </w:tc>
      </w:tr>
      <w:tr>
        <w:tc>
          <w:tcPr>
            <w:tcW w:type="dxa" w:w="4939"/>
            <w:vAlign w:val="center"/>
          </w:tcPr>
          <w:p>
            <w:pPr>
              <w:spacing w:after="20"/>
            </w:pPr>
            <w:r>
              <w:t>Skalabilitas</w:t>
            </w:r>
          </w:p>
        </w:tc>
        <w:tc>
          <w:tcPr>
            <w:tcW w:type="dxa" w:w="4939"/>
            <w:vAlign w:val="center"/>
          </w:tcPr>
          <w:p>
            <w:pPr>
              <w:spacing w:after="20"/>
            </w:pPr>
            <w:r>
              <w:t>Sheets + Drive sesuai tahap awal internal. Jika aktivitas meningkat, pindahkan tabel transaksi ke PostgreSQL/Firestore tanpa mengubah folder bukti Drive.</w:t>
            </w:r>
          </w:p>
        </w:tc>
      </w:tr>
    </w:tbl>
    <w:p>
      <w:pPr>
        <w:pStyle w:val="Heading1"/>
      </w:pPr>
      <w:r>
        <w:t>3. Hak akses berbasis jabatan (RBAC)</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shd w:fill="174663"/>
          </w:tcPr>
          <w:p>
            <w:pPr>
              <w:spacing w:after="20"/>
            </w:pPr>
            <w:r>
              <w:rPr>
                <w:b/>
                <w:color w:val="FFFFFF"/>
              </w:rPr>
              <w:t>Role</w:t>
            </w:r>
          </w:p>
        </w:tc>
        <w:tc>
          <w:tcPr>
            <w:tcW w:type="dxa" w:w="2469"/>
            <w:vAlign w:val="center"/>
            <w:shd w:fill="174663"/>
          </w:tcPr>
          <w:p>
            <w:pPr>
              <w:spacing w:after="20"/>
            </w:pPr>
            <w:r>
              <w:rPr>
                <w:b/>
                <w:color w:val="FFFFFF"/>
              </w:rPr>
              <w:t>Boleh melihat</w:t>
            </w:r>
          </w:p>
        </w:tc>
        <w:tc>
          <w:tcPr>
            <w:tcW w:type="dxa" w:w="2469"/>
            <w:vAlign w:val="center"/>
            <w:shd w:fill="174663"/>
          </w:tcPr>
          <w:p>
            <w:pPr>
              <w:spacing w:after="20"/>
            </w:pPr>
            <w:r>
              <w:rPr>
                <w:b/>
                <w:color w:val="FFFFFF"/>
              </w:rPr>
              <w:t>Boleh membuat/mengubah</w:t>
            </w:r>
          </w:p>
        </w:tc>
        <w:tc>
          <w:tcPr>
            <w:tcW w:type="dxa" w:w="2469"/>
            <w:vAlign w:val="center"/>
            <w:shd w:fill="174663"/>
          </w:tcPr>
          <w:p>
            <w:pPr>
              <w:spacing w:after="20"/>
            </w:pPr>
            <w:r>
              <w:rPr>
                <w:b/>
                <w:color w:val="FFFFFF"/>
              </w:rPr>
              <w:t>Persetujuan</w:t>
            </w:r>
          </w:p>
        </w:tc>
      </w:tr>
      <w:tr>
        <w:tc>
          <w:tcPr>
            <w:tcW w:type="dxa" w:w="2469"/>
            <w:vAlign w:val="center"/>
          </w:tcPr>
          <w:p>
            <w:pPr>
              <w:spacing w:after="20"/>
            </w:pPr>
            <w:r>
              <w:t>Rektor / ADMIN</w:t>
            </w:r>
          </w:p>
        </w:tc>
        <w:tc>
          <w:tcPr>
            <w:tcW w:type="dxa" w:w="2469"/>
            <w:vAlign w:val="center"/>
          </w:tcPr>
          <w:p>
            <w:pPr>
              <w:spacing w:after="20"/>
            </w:pPr>
            <w:r>
              <w:t>Semua dashboard, dokumen, laporan, audit dan rekap anggaran</w:t>
            </w:r>
          </w:p>
        </w:tc>
        <w:tc>
          <w:tcPr>
            <w:tcW w:type="dxa" w:w="2469"/>
            <w:vAlign w:val="center"/>
          </w:tcPr>
          <w:p>
            <w:pPr>
              <w:spacing w:after="20"/>
            </w:pPr>
            <w:r>
              <w:t>Pengaturan role, SOP, parameter penilaian, periode; koreksi resmi</w:t>
            </w:r>
          </w:p>
        </w:tc>
        <w:tc>
          <w:tcPr>
            <w:tcW w:type="dxa" w:w="2469"/>
            <w:vAlign w:val="center"/>
          </w:tcPr>
          <w:p>
            <w:pPr>
              <w:spacing w:after="20"/>
            </w:pPr>
            <w:r>
              <w:t>Pengesahan akhir beasiswa, pengecualian, perubahan aturan</w:t>
            </w:r>
          </w:p>
        </w:tc>
      </w:tr>
      <w:tr>
        <w:tc>
          <w:tcPr>
            <w:tcW w:type="dxa" w:w="2469"/>
            <w:vAlign w:val="center"/>
          </w:tcPr>
          <w:p>
            <w:pPr>
              <w:spacing w:after="20"/>
            </w:pPr>
            <w:r>
              <w:t>WR I</w:t>
            </w:r>
          </w:p>
        </w:tc>
        <w:tc>
          <w:tcPr>
            <w:tcW w:type="dxa" w:w="2469"/>
            <w:vAlign w:val="center"/>
          </w:tcPr>
          <w:p>
            <w:pPr>
              <w:spacing w:after="20"/>
            </w:pPr>
            <w:r>
              <w:t>Akademik, event, seminar, tugas dan KPI jalur WR I; ringkasan lintas unit terbatas</w:t>
            </w:r>
          </w:p>
        </w:tc>
        <w:tc>
          <w:tcPr>
            <w:tcW w:type="dxa" w:w="2469"/>
            <w:vAlign w:val="center"/>
          </w:tcPr>
          <w:p>
            <w:pPr>
              <w:spacing w:after="20"/>
            </w:pPr>
            <w:r>
              <w:t>Kalender akademik/kemahasiswaan, proposal, agenda, penugasan, evaluasi</w:t>
            </w:r>
          </w:p>
        </w:tc>
        <w:tc>
          <w:tcPr>
            <w:tcW w:type="dxa" w:w="2469"/>
            <w:vAlign w:val="center"/>
          </w:tcPr>
          <w:p>
            <w:pPr>
              <w:spacing w:after="20"/>
            </w:pPr>
            <w:r>
              <w:t>Approve kegiatan WR I dan penilaian jalur WR I dalam batas delegasi</w:t>
            </w:r>
          </w:p>
        </w:tc>
      </w:tr>
      <w:tr>
        <w:tc>
          <w:tcPr>
            <w:tcW w:type="dxa" w:w="2469"/>
            <w:vAlign w:val="center"/>
          </w:tcPr>
          <w:p>
            <w:pPr>
              <w:spacing w:after="20"/>
            </w:pPr>
            <w:r>
              <w:t>WR II</w:t>
            </w:r>
          </w:p>
        </w:tc>
        <w:tc>
          <w:tcPr>
            <w:tcW w:type="dxa" w:w="2469"/>
            <w:vAlign w:val="center"/>
          </w:tcPr>
          <w:p>
            <w:pPr>
              <w:spacing w:after="20"/>
            </w:pPr>
            <w:r>
              <w:t>Konten, feed, story, expo, presentasi, PMB, tugas dan KPI jalur WR II</w:t>
            </w:r>
          </w:p>
        </w:tc>
        <w:tc>
          <w:tcPr>
            <w:tcW w:type="dxa" w:w="2469"/>
            <w:vAlign w:val="center"/>
          </w:tcPr>
          <w:p>
            <w:pPr>
              <w:spacing w:after="20"/>
            </w:pPr>
            <w:r>
              <w:t>Kalender kampanye, brief, target konten, tugas promosi, penilaian</w:t>
            </w:r>
          </w:p>
        </w:tc>
        <w:tc>
          <w:tcPr>
            <w:tcW w:type="dxa" w:w="2469"/>
            <w:vAlign w:val="center"/>
          </w:tcPr>
          <w:p>
            <w:pPr>
              <w:spacing w:after="20"/>
            </w:pPr>
            <w:r>
              <w:t>Approve hasil marketing dan mengajukan validasi referral/fasilitas</w:t>
            </w:r>
          </w:p>
        </w:tc>
      </w:tr>
      <w:tr>
        <w:tc>
          <w:tcPr>
            <w:tcW w:type="dxa" w:w="2469"/>
            <w:vAlign w:val="center"/>
          </w:tcPr>
          <w:p>
            <w:pPr>
              <w:spacing w:after="20"/>
            </w:pPr>
            <w:r>
              <w:t>Operator</w:t>
            </w:r>
          </w:p>
        </w:tc>
        <w:tc>
          <w:tcPr>
            <w:tcW w:type="dxa" w:w="2469"/>
            <w:vAlign w:val="center"/>
          </w:tcPr>
          <w:p>
            <w:pPr>
              <w:spacing w:after="20"/>
            </w:pPr>
            <w:r>
              <w:t>Data yang ditugaskan pada unitnya</w:t>
            </w:r>
          </w:p>
        </w:tc>
        <w:tc>
          <w:tcPr>
            <w:tcW w:type="dxa" w:w="2469"/>
            <w:vAlign w:val="center"/>
          </w:tcPr>
          <w:p>
            <w:pPr>
              <w:spacing w:after="20"/>
            </w:pPr>
            <w:r>
              <w:t>Input tugas, absensi, bukti, reminder, arsip dan rekap; tidak bisa mengubah skor final</w:t>
            </w:r>
          </w:p>
        </w:tc>
        <w:tc>
          <w:tcPr>
            <w:tcW w:type="dxa" w:w="2469"/>
            <w:vAlign w:val="center"/>
          </w:tcPr>
          <w:p>
            <w:pPr>
              <w:spacing w:after="20"/>
            </w:pPr>
            <w:r>
              <w:t>Tidak dapat mengesahkan beasiswa atau referral sendiri</w:t>
            </w:r>
          </w:p>
        </w:tc>
      </w:tr>
      <w:tr>
        <w:tc>
          <w:tcPr>
            <w:tcW w:type="dxa" w:w="2469"/>
            <w:vAlign w:val="center"/>
          </w:tcPr>
          <w:p>
            <w:pPr>
              <w:spacing w:after="20"/>
            </w:pPr>
            <w:r>
              <w:t>PIC / Reviewer</w:t>
            </w:r>
          </w:p>
        </w:tc>
        <w:tc>
          <w:tcPr>
            <w:tcW w:type="dxa" w:w="2469"/>
            <w:vAlign w:val="center"/>
          </w:tcPr>
          <w:p>
            <w:pPr>
              <w:spacing w:after="20"/>
            </w:pPr>
            <w:r>
              <w:t>Tugas yang diampu</w:t>
            </w:r>
          </w:p>
        </w:tc>
        <w:tc>
          <w:tcPr>
            <w:tcW w:type="dxa" w:w="2469"/>
            <w:vAlign w:val="center"/>
          </w:tcPr>
          <w:p>
            <w:pPr>
              <w:spacing w:after="20"/>
            </w:pPr>
            <w:r>
              <w:t>Umpan balik, permintaan revisi, penilaian hasil sesuai delegasi</w:t>
            </w:r>
          </w:p>
        </w:tc>
        <w:tc>
          <w:tcPr>
            <w:tcW w:type="dxa" w:w="2469"/>
            <w:vAlign w:val="center"/>
          </w:tcPr>
          <w:p>
            <w:pPr>
              <w:spacing w:after="20"/>
            </w:pPr>
            <w:r>
              <w:t>Menandai DITERIMA untuk output yang benar-benar lulus QC</w:t>
            </w:r>
          </w:p>
        </w:tc>
      </w:tr>
      <w:tr>
        <w:tc>
          <w:tcPr>
            <w:tcW w:type="dxa" w:w="2469"/>
            <w:vAlign w:val="center"/>
          </w:tcPr>
          <w:p>
            <w:pPr>
              <w:spacing w:after="20"/>
            </w:pPr>
            <w:r>
              <w:t>PMB / Keuangan</w:t>
            </w:r>
          </w:p>
        </w:tc>
        <w:tc>
          <w:tcPr>
            <w:tcW w:type="dxa" w:w="2469"/>
            <w:vAlign w:val="center"/>
          </w:tcPr>
          <w:p>
            <w:pPr>
              <w:spacing w:after="20"/>
            </w:pPr>
            <w:r>
              <w:t>Hanya data referral/biaya yang relevan</w:t>
            </w:r>
          </w:p>
        </w:tc>
        <w:tc>
          <w:tcPr>
            <w:tcW w:type="dxa" w:w="2469"/>
            <w:vAlign w:val="center"/>
          </w:tcPr>
          <w:p>
            <w:pPr>
              <w:spacing w:after="20"/>
            </w:pPr>
            <w:r>
              <w:t>PMB verifikasi pendaftaran; Keuangan status lunas/terpenuhi</w:t>
            </w:r>
          </w:p>
        </w:tc>
        <w:tc>
          <w:tcPr>
            <w:tcW w:type="dxa" w:w="2469"/>
            <w:vAlign w:val="center"/>
          </w:tcPr>
          <w:p>
            <w:pPr>
              <w:spacing w:after="20"/>
            </w:pPr>
            <w:r>
              <w:t>Verifikasi dua langkah, bukan penetapan beasiswa</w:t>
            </w:r>
          </w:p>
        </w:tc>
      </w:tr>
      <w:tr>
        <w:tc>
          <w:tcPr>
            <w:tcW w:type="dxa" w:w="2469"/>
            <w:vAlign w:val="center"/>
          </w:tcPr>
          <w:p>
            <w:pPr>
              <w:spacing w:after="20"/>
            </w:pPr>
            <w:r>
              <w:t>Mahasiswa (fase selanjutnya)</w:t>
            </w:r>
          </w:p>
        </w:tc>
        <w:tc>
          <w:tcPr>
            <w:tcW w:type="dxa" w:w="2469"/>
            <w:vAlign w:val="center"/>
          </w:tcPr>
          <w:p>
            <w:pPr>
              <w:spacing w:after="20"/>
            </w:pPr>
            <w:r>
              <w:t>Tugas dan nilai milik sendiri</w:t>
            </w:r>
          </w:p>
        </w:tc>
        <w:tc>
          <w:tcPr>
            <w:tcW w:type="dxa" w:w="2469"/>
            <w:vAlign w:val="center"/>
          </w:tcPr>
          <w:p>
            <w:pPr>
              <w:spacing w:after="20"/>
            </w:pPr>
            <w:r>
              <w:t>Unggah bukti, pengajuan dispensasi, lihat umpan balik</w:t>
            </w:r>
          </w:p>
        </w:tc>
        <w:tc>
          <w:tcPr>
            <w:tcW w:type="dxa" w:w="2469"/>
            <w:vAlign w:val="center"/>
          </w:tcPr>
          <w:p>
            <w:pPr>
              <w:spacing w:after="20"/>
            </w:pPr>
            <w:r>
              <w:t>Tidak menyetujui tugas/nilai sendiri</w:t>
            </w:r>
          </w:p>
        </w:tc>
      </w:tr>
    </w:tbl>
    <w:p>
      <w:r>
        <w:t>Semua perubahan role, revisi skor, penghapusan arsip dan persetujuan strategis harus mencatat siapa, kapan, sebelum-sesudah, serta alasan. Role operator dilarang mempunyai akses mengubah nilai beasiswa atau status pelunasan.</w:t>
      </w:r>
    </w:p>
    <w:p>
      <w:pPr>
        <w:pStyle w:val="Heading1"/>
      </w:pPr>
      <w:r>
        <w:t>4. Dua jalur kerja wajib</w:t>
      </w:r>
    </w:p>
    <w:p>
      <w:pPr>
        <w:pStyle w:val="Heading2"/>
      </w:pPr>
      <w:r>
        <w:t>4A. WR I — Akademik dan kegiatan mahasiswa</w:t>
      </w:r>
    </w:p>
    <w:p>
      <w:r>
        <w:t>WR I wajib memiliki Kalender Kegiatan Mahasiswa per semester: seminar akademik, kompetisi, student showcase, kepemimpinan, budaya/Imlek, pengabdian masyarakat yang bermakna dan kolaborasi lintas jenjang. Model kolaborasi potensial dengan Carnegie School: YAWP, Summer Camp, 5 Days Di Zi Gui Class — hanya setelah jadwal dan tanggung jawab disepakati kedua institusi.</w:t>
      </w:r>
    </w:p>
    <w:p>
      <w:r>
        <w:t>Target kinerja unit yang disarankan: minimal satu kegiatan mahasiswa yang benar-benar terlaksana setiap bulan perkuliahan aktif dan minimal satu program unggulan per semester; besaran anggaran/jenis acara tetap memerlukan approval. Kegiatan charity saja tidak menggantikan kalender kegiatan yang beragam.</w:t>
      </w:r>
    </w:p>
    <w:p>
      <w:r>
        <w:t>Setiap event melalui tahapan: DRAFT → PROPOSAL → APPROVED → PLANNED → EXECUTED → REPORT SUBMITTED → REVIEWED → CLOSED. Proposal memuat tujuan, PIC, mahasiswa panitia, rundown, anggaran (bila ada), keselamatan, jumlah peserta target, dan output belajar. Laporan akhir maksimal 5 hari kerja setelah acara atau sesuai approval.</w:t>
      </w:r>
    </w:p>
    <w:p>
      <w:pPr>
        <w:pStyle w:val="Heading2"/>
      </w:pPr>
      <w:r>
        <w:t>4B. WR II — Marketing, Sales Enablement, dan PMB</w:t>
      </w:r>
    </w:p>
    <w:p>
      <w:r>
        <w:t>WR II wajib memiliki kalender kampanye bulanan dan brief mingguan: video, Reels, story, feed, copywriting, testimonial dengan izin, expo, presentasi sekolah, open house, campus ambassador, serta dukungan pengenalan prodi. Hasil harus melalui QC dan diverifikasi, bukan dihitung hanya dari kehadiran atau jumlah ide.</w:t>
      </w:r>
    </w:p>
    <w:p>
      <w:r>
        <w:t>Target kinerja unit yang disarankan: sekurang-kurangnya satu kampanye aktif per bulan dan brief yang terdistribusi setiap minggu kegiatan. Unit marketing tetap bertanggung jawab atas penerbitan, prospek, negosiasi, transaksi dan klaim informasi; mahasiswa bukan tenaga sales pengganti staf.</w:t>
      </w:r>
    </w:p>
    <w:p>
      <w:pPr>
        <w:pStyle w:val="Heading1"/>
      </w:pPr>
      <w:r>
        <w:t>5. Alur operasional berbasis web</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74663"/>
          </w:tcPr>
          <w:p>
            <w:pPr>
              <w:spacing w:after="20"/>
            </w:pPr>
            <w:r>
              <w:rPr>
                <w:b/>
                <w:color w:val="FFFFFF"/>
              </w:rPr>
              <w:t>Langkah</w:t>
            </w:r>
          </w:p>
        </w:tc>
        <w:tc>
          <w:tcPr>
            <w:tcW w:type="dxa" w:w="3293"/>
            <w:vAlign w:val="center"/>
            <w:shd w:fill="174663"/>
          </w:tcPr>
          <w:p>
            <w:pPr>
              <w:spacing w:after="20"/>
            </w:pPr>
            <w:r>
              <w:rPr>
                <w:b/>
                <w:color w:val="FFFFFF"/>
              </w:rPr>
              <w:t>Aksi di portal</w:t>
            </w:r>
          </w:p>
        </w:tc>
        <w:tc>
          <w:tcPr>
            <w:tcW w:type="dxa" w:w="3293"/>
            <w:vAlign w:val="center"/>
            <w:shd w:fill="174663"/>
          </w:tcPr>
          <w:p>
            <w:pPr>
              <w:spacing w:after="20"/>
            </w:pPr>
            <w:r>
              <w:rPr>
                <w:b/>
                <w:color w:val="FFFFFF"/>
              </w:rPr>
              <w:t>PIC &amp; ketentuan</w:t>
            </w:r>
          </w:p>
        </w:tc>
      </w:tr>
      <w:tr>
        <w:tc>
          <w:tcPr>
            <w:tcW w:type="dxa" w:w="3293"/>
            <w:vAlign w:val="center"/>
          </w:tcPr>
          <w:p>
            <w:pPr>
              <w:spacing w:after="20"/>
            </w:pPr>
            <w:r>
              <w:t>1. Rencana</w:t>
            </w:r>
          </w:p>
        </w:tc>
        <w:tc>
          <w:tcPr>
            <w:tcW w:type="dxa" w:w="3293"/>
            <w:vAlign w:val="center"/>
          </w:tcPr>
          <w:p>
            <w:pPr>
              <w:spacing w:after="20"/>
            </w:pPr>
            <w:r>
              <w:t>WR I membuat EVENT; WR II membuat CAMPAIGN; masukkan target bulanan dan PIC</w:t>
            </w:r>
          </w:p>
        </w:tc>
        <w:tc>
          <w:tcPr>
            <w:tcW w:type="dxa" w:w="3293"/>
            <w:vAlign w:val="center"/>
          </w:tcPr>
          <w:p>
            <w:pPr>
              <w:spacing w:after="20"/>
            </w:pPr>
            <w:r>
              <w:t>Sebelum periode berjalan; rektor dapat melihat rencana dan status approval.</w:t>
            </w:r>
          </w:p>
        </w:tc>
      </w:tr>
      <w:tr>
        <w:tc>
          <w:tcPr>
            <w:tcW w:type="dxa" w:w="3293"/>
            <w:vAlign w:val="center"/>
          </w:tcPr>
          <w:p>
            <w:pPr>
              <w:spacing w:after="20"/>
            </w:pPr>
            <w:r>
              <w:t>2. Penugasan</w:t>
            </w:r>
          </w:p>
        </w:tc>
        <w:tc>
          <w:tcPr>
            <w:tcW w:type="dxa" w:w="3293"/>
            <w:vAlign w:val="center"/>
          </w:tcPr>
          <w:p>
            <w:pPr>
              <w:spacing w:after="20"/>
            </w:pPr>
            <w:r>
              <w:t>Buat TASK-ID unik terkait event/campaign, mahasiswa, tujuan, bukti wajib, due date</w:t>
            </w:r>
          </w:p>
        </w:tc>
        <w:tc>
          <w:tcPr>
            <w:tcW w:type="dxa" w:w="3293"/>
            <w:vAlign w:val="center"/>
          </w:tcPr>
          <w:p>
            <w:pPr>
              <w:spacing w:after="20"/>
            </w:pPr>
            <w:r>
              <w:t>Owner WR I/WR II; draft tugas disetujui sebelum dibagikan.</w:t>
            </w:r>
          </w:p>
        </w:tc>
      </w:tr>
      <w:tr>
        <w:tc>
          <w:tcPr>
            <w:tcW w:type="dxa" w:w="3293"/>
            <w:vAlign w:val="center"/>
          </w:tcPr>
          <w:p>
            <w:pPr>
              <w:spacing w:after="20"/>
            </w:pPr>
            <w:r>
              <w:t>3. Pelaksanaan</w:t>
            </w:r>
          </w:p>
        </w:tc>
        <w:tc>
          <w:tcPr>
            <w:tcW w:type="dxa" w:w="3293"/>
            <w:vAlign w:val="center"/>
          </w:tcPr>
          <w:p>
            <w:pPr>
              <w:spacing w:after="20"/>
            </w:pPr>
            <w:r>
              <w:t>Operator input kehadiran; mahasiswa/PIC mengunggah link atau file bukti</w:t>
            </w:r>
          </w:p>
        </w:tc>
        <w:tc>
          <w:tcPr>
            <w:tcW w:type="dxa" w:w="3293"/>
            <w:vAlign w:val="center"/>
          </w:tcPr>
          <w:p>
            <w:pPr>
              <w:spacing w:after="20"/>
            </w:pPr>
            <w:r>
              <w:t>Absensi tidak sama dengan bukti penyelesaian. Dispensasi tercatat.</w:t>
            </w:r>
          </w:p>
        </w:tc>
      </w:tr>
      <w:tr>
        <w:tc>
          <w:tcPr>
            <w:tcW w:type="dxa" w:w="3293"/>
            <w:vAlign w:val="center"/>
          </w:tcPr>
          <w:p>
            <w:pPr>
              <w:spacing w:after="20"/>
            </w:pPr>
            <w:r>
              <w:t>4. Pemeriksaan</w:t>
            </w:r>
          </w:p>
        </w:tc>
        <w:tc>
          <w:tcPr>
            <w:tcW w:type="dxa" w:w="3293"/>
            <w:vAlign w:val="center"/>
          </w:tcPr>
          <w:p>
            <w:pPr>
              <w:spacing w:after="20"/>
            </w:pPr>
            <w:r>
              <w:t>PIC review dan beri STATUS: ACCEPTED / REVISION / REJECTED_WITH_REASON</w:t>
            </w:r>
          </w:p>
        </w:tc>
        <w:tc>
          <w:tcPr>
            <w:tcW w:type="dxa" w:w="3293"/>
            <w:vAlign w:val="center"/>
          </w:tcPr>
          <w:p>
            <w:pPr>
              <w:spacing w:after="20"/>
            </w:pPr>
            <w:r>
              <w:t>Tidak boleh ACCEPTED tanpa bukti dan reviewer. Revisi disertai catatan.</w:t>
            </w:r>
          </w:p>
        </w:tc>
      </w:tr>
      <w:tr>
        <w:tc>
          <w:tcPr>
            <w:tcW w:type="dxa" w:w="3293"/>
            <w:vAlign w:val="center"/>
          </w:tcPr>
          <w:p>
            <w:pPr>
              <w:spacing w:after="20"/>
            </w:pPr>
            <w:r>
              <w:t>5. Skor</w:t>
            </w:r>
          </w:p>
        </w:tc>
        <w:tc>
          <w:tcPr>
            <w:tcW w:type="dxa" w:w="3293"/>
            <w:vAlign w:val="center"/>
          </w:tcPr>
          <w:p>
            <w:pPr>
              <w:spacing w:after="20"/>
            </w:pPr>
            <w:r>
              <w:t>Nilai rubrik 0–100, pisahkan kontribusi WR I dan WR II</w:t>
            </w:r>
          </w:p>
        </w:tc>
        <w:tc>
          <w:tcPr>
            <w:tcW w:type="dxa" w:w="3293"/>
            <w:vAlign w:val="center"/>
          </w:tcPr>
          <w:p>
            <w:pPr>
              <w:spacing w:after="20"/>
            </w:pPr>
            <w:r>
              <w:t>Reviewer dapat menjelaskan dimensi skor; audit trail wajib.</w:t>
            </w:r>
          </w:p>
        </w:tc>
      </w:tr>
      <w:tr>
        <w:tc>
          <w:tcPr>
            <w:tcW w:type="dxa" w:w="3293"/>
            <w:vAlign w:val="center"/>
          </w:tcPr>
          <w:p>
            <w:pPr>
              <w:spacing w:after="20"/>
            </w:pPr>
            <w:r>
              <w:t>6. Review mingguan</w:t>
            </w:r>
          </w:p>
        </w:tc>
        <w:tc>
          <w:tcPr>
            <w:tcW w:type="dxa" w:w="3293"/>
            <w:vAlign w:val="center"/>
          </w:tcPr>
          <w:p>
            <w:pPr>
              <w:spacing w:after="20"/>
            </w:pPr>
            <w:r>
              <w:t>WR I &amp; WR II melihat overdue, pending QC, kapasitas mahasiswa, tindakan korektif</w:t>
            </w:r>
          </w:p>
        </w:tc>
        <w:tc>
          <w:tcPr>
            <w:tcW w:type="dxa" w:w="3293"/>
            <w:vAlign w:val="center"/>
          </w:tcPr>
          <w:p>
            <w:pPr>
              <w:spacing w:after="20"/>
            </w:pPr>
            <w:r>
              <w:t>Rapat singkat mingguan; simpan notulen/keputusan.</w:t>
            </w:r>
          </w:p>
        </w:tc>
      </w:tr>
      <w:tr>
        <w:tc>
          <w:tcPr>
            <w:tcW w:type="dxa" w:w="3293"/>
            <w:vAlign w:val="center"/>
          </w:tcPr>
          <w:p>
            <w:pPr>
              <w:spacing w:after="20"/>
            </w:pPr>
            <w:r>
              <w:t>7. Review bulanan</w:t>
            </w:r>
          </w:p>
        </w:tc>
        <w:tc>
          <w:tcPr>
            <w:tcW w:type="dxa" w:w="3293"/>
            <w:vAlign w:val="center"/>
          </w:tcPr>
          <w:p>
            <w:pPr>
              <w:spacing w:after="20"/>
            </w:pPr>
            <w:r>
              <w:t>Kinerja unit dan mahasiswa; absensi, hasil diterima, event, konten, referral</w:t>
            </w:r>
          </w:p>
        </w:tc>
        <w:tc>
          <w:tcPr>
            <w:tcW w:type="dxa" w:w="3293"/>
            <w:vAlign w:val="center"/>
          </w:tcPr>
          <w:p>
            <w:pPr>
              <w:spacing w:after="20"/>
            </w:pPr>
            <w:r>
              <w:t>WR I &amp; II mengirim ringkasan kepada Rektor; exception ditindaklanjuti.</w:t>
            </w:r>
          </w:p>
        </w:tc>
      </w:tr>
      <w:tr>
        <w:tc>
          <w:tcPr>
            <w:tcW w:type="dxa" w:w="3293"/>
            <w:vAlign w:val="center"/>
          </w:tcPr>
          <w:p>
            <w:pPr>
              <w:spacing w:after="20"/>
            </w:pPr>
            <w:r>
              <w:t>8. Akhir tahun</w:t>
            </w:r>
          </w:p>
        </w:tc>
        <w:tc>
          <w:tcPr>
            <w:tcW w:type="dxa" w:w="3293"/>
            <w:vAlign w:val="center"/>
          </w:tcPr>
          <w:p>
            <w:pPr>
              <w:spacing w:after="20"/>
            </w:pPr>
            <w:r>
              <w:t>Kompilasi kontribusi 60%, akademik 25%, karakter 15%; ketentuan IPK dan kuota</w:t>
            </w:r>
          </w:p>
        </w:tc>
        <w:tc>
          <w:tcPr>
            <w:tcW w:type="dxa" w:w="3293"/>
            <w:vAlign w:val="center"/>
          </w:tcPr>
          <w:p>
            <w:pPr>
              <w:spacing w:after="20"/>
            </w:pPr>
            <w:r>
              <w:t>Hanya Rektor mengesahkan perpanjangan/kenaikan/penurunan beasiswa.</w:t>
            </w:r>
          </w:p>
        </w:tc>
      </w:tr>
    </w:tbl>
    <w:p>
      <w:pPr>
        <w:pStyle w:val="Heading1"/>
      </w:pPr>
      <w:r>
        <w:t>6. Bentuk formulir digital (pengganti FR-01 s.d. FR-08)</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74663"/>
          </w:tcPr>
          <w:p>
            <w:pPr>
              <w:spacing w:after="20"/>
            </w:pPr>
            <w:r>
              <w:rPr>
                <w:b/>
                <w:color w:val="FFFFFF"/>
              </w:rPr>
              <w:t>ID / Modul</w:t>
            </w:r>
          </w:p>
        </w:tc>
        <w:tc>
          <w:tcPr>
            <w:tcW w:type="dxa" w:w="4939"/>
            <w:vAlign w:val="center"/>
            <w:shd w:fill="174663"/>
          </w:tcPr>
          <w:p>
            <w:pPr>
              <w:spacing w:after="20"/>
            </w:pPr>
            <w:r>
              <w:rPr>
                <w:b/>
                <w:color w:val="FFFFFF"/>
              </w:rPr>
              <w:t>Field minimum &amp; validasi</w:t>
            </w:r>
          </w:p>
        </w:tc>
      </w:tr>
      <w:tr>
        <w:tc>
          <w:tcPr>
            <w:tcW w:type="dxa" w:w="4939"/>
            <w:vAlign w:val="center"/>
          </w:tcPr>
          <w:p>
            <w:pPr>
              <w:spacing w:after="20"/>
            </w:pPr>
            <w:r>
              <w:t>F-01 Task Brief</w:t>
            </w:r>
          </w:p>
        </w:tc>
        <w:tc>
          <w:tcPr>
            <w:tcW w:type="dxa" w:w="4939"/>
            <w:vAlign w:val="center"/>
          </w:tcPr>
          <w:p>
            <w:pPr>
              <w:spacing w:after="20"/>
            </w:pPr>
            <w:r>
              <w:t>Task ID auto; owner WR I/II; jenis; mahasiswa; PIC; tujuan; acceptance criteria; output; due date; related Event/Campaign ID; status.</w:t>
            </w:r>
          </w:p>
        </w:tc>
      </w:tr>
      <w:tr>
        <w:tc>
          <w:tcPr>
            <w:tcW w:type="dxa" w:w="4939"/>
            <w:vAlign w:val="center"/>
          </w:tcPr>
          <w:p>
            <w:pPr>
              <w:spacing w:after="20"/>
            </w:pPr>
            <w:r>
              <w:t>F-02 Attendance</w:t>
            </w:r>
          </w:p>
        </w:tc>
        <w:tc>
          <w:tcPr>
            <w:tcW w:type="dxa" w:w="4939"/>
            <w:vAlign w:val="center"/>
          </w:tcPr>
          <w:p>
            <w:pPr>
              <w:spacing w:after="20"/>
            </w:pPr>
            <w:r>
              <w:t>Tanggal dan sesi; user; hadir/izin/sakit/exempt resmi; alasan &amp; approval; cek duplikasi.</w:t>
            </w:r>
          </w:p>
        </w:tc>
      </w:tr>
      <w:tr>
        <w:tc>
          <w:tcPr>
            <w:tcW w:type="dxa" w:w="4939"/>
            <w:vAlign w:val="center"/>
          </w:tcPr>
          <w:p>
            <w:pPr>
              <w:spacing w:after="20"/>
            </w:pPr>
            <w:r>
              <w:t>F-03 Evidence Submission</w:t>
            </w:r>
          </w:p>
        </w:tc>
        <w:tc>
          <w:tcPr>
            <w:tcW w:type="dxa" w:w="4939"/>
            <w:vAlign w:val="center"/>
          </w:tcPr>
          <w:p>
            <w:pPr>
              <w:spacing w:after="20"/>
            </w:pPr>
            <w:r>
              <w:t>Task ID; link Drive; jenis bukti; nama file; timestamp; catatan; konfirmasi privasi dan penggunaan materi.</w:t>
            </w:r>
          </w:p>
        </w:tc>
      </w:tr>
      <w:tr>
        <w:tc>
          <w:tcPr>
            <w:tcW w:type="dxa" w:w="4939"/>
            <w:vAlign w:val="center"/>
          </w:tcPr>
          <w:p>
            <w:pPr>
              <w:spacing w:after="20"/>
            </w:pPr>
            <w:r>
              <w:t>F-04 QC &amp; Weekly Score</w:t>
            </w:r>
          </w:p>
        </w:tc>
        <w:tc>
          <w:tcPr>
            <w:tcW w:type="dxa" w:w="4939"/>
            <w:vAlign w:val="center"/>
          </w:tcPr>
          <w:p>
            <w:pPr>
              <w:spacing w:after="20"/>
            </w:pPr>
            <w:r>
              <w:t>Rubrik kualitas 40, target 25, ketepatan 15, inisiatif 10, kolaborasi 10; catatan revisi dan verifier.</w:t>
            </w:r>
          </w:p>
        </w:tc>
      </w:tr>
      <w:tr>
        <w:tc>
          <w:tcPr>
            <w:tcW w:type="dxa" w:w="4939"/>
            <w:vAlign w:val="center"/>
          </w:tcPr>
          <w:p>
            <w:pPr>
              <w:spacing w:after="20"/>
            </w:pPr>
            <w:r>
              <w:t>F-05 Event Proposal / AAR</w:t>
            </w:r>
          </w:p>
        </w:tc>
        <w:tc>
          <w:tcPr>
            <w:tcW w:type="dxa" w:w="4939"/>
            <w:vAlign w:val="center"/>
          </w:tcPr>
          <w:p>
            <w:pPr>
              <w:spacing w:after="20"/>
            </w:pPr>
            <w:r>
              <w:t>Kalender; proposal; PIC; panitia; peserta; agenda; anggaran; berkas; setelah acara: realisasi, pembelajaran, dokumentasi.</w:t>
            </w:r>
          </w:p>
        </w:tc>
      </w:tr>
      <w:tr>
        <w:tc>
          <w:tcPr>
            <w:tcW w:type="dxa" w:w="4939"/>
            <w:vAlign w:val="center"/>
          </w:tcPr>
          <w:p>
            <w:pPr>
              <w:spacing w:after="20"/>
            </w:pPr>
            <w:r>
              <w:t>F-06 Campaign / Content Calendar</w:t>
            </w:r>
          </w:p>
        </w:tc>
        <w:tc>
          <w:tcPr>
            <w:tcW w:type="dxa" w:w="4939"/>
            <w:vAlign w:val="center"/>
          </w:tcPr>
          <w:p>
            <w:pPr>
              <w:spacing w:after="20"/>
            </w:pPr>
            <w:r>
              <w:t>Format; audience; pesan disetujui; tanggal terbit; editor; KPI konten; link tayang; status approval.</w:t>
            </w:r>
          </w:p>
        </w:tc>
      </w:tr>
      <w:tr>
        <w:tc>
          <w:tcPr>
            <w:tcW w:type="dxa" w:w="4939"/>
            <w:vAlign w:val="center"/>
          </w:tcPr>
          <w:p>
            <w:pPr>
              <w:spacing w:after="20"/>
            </w:pPr>
            <w:r>
              <w:t>F-07 Referral &amp; Exemption</w:t>
            </w:r>
          </w:p>
        </w:tc>
        <w:tc>
          <w:tcPr>
            <w:tcW w:type="dxa" w:w="4939"/>
            <w:vAlign w:val="center"/>
          </w:tcPr>
          <w:p>
            <w:pPr>
              <w:spacing w:after="20"/>
            </w:pPr>
            <w:r>
              <w:t>Referrer; mahasiswa baru; PMB verified; Finance verified; fasilitas diminta; approval WR II/Rektor; tanggal bebas Sabtu.</w:t>
            </w:r>
          </w:p>
        </w:tc>
      </w:tr>
      <w:tr>
        <w:tc>
          <w:tcPr>
            <w:tcW w:type="dxa" w:w="4939"/>
            <w:vAlign w:val="center"/>
          </w:tcPr>
          <w:p>
            <w:pPr>
              <w:spacing w:after="20"/>
            </w:pPr>
            <w:r>
              <w:t>F-08 Annual Scholarship Review</w:t>
            </w:r>
          </w:p>
        </w:tc>
        <w:tc>
          <w:tcPr>
            <w:tcW w:type="dxa" w:w="4939"/>
            <w:vAlign w:val="center"/>
          </w:tcPr>
          <w:p>
            <w:pPr>
              <w:spacing w:after="20"/>
            </w:pPr>
            <w:r>
              <w:t>Rekap output, nilai kontribusi; data IPK tervalidasi WR I, karakter; bobot 60/25/15; rekomendasi; persetujuan Rektor.</w:t>
            </w:r>
          </w:p>
        </w:tc>
      </w:tr>
      <w:tr>
        <w:tc>
          <w:tcPr>
            <w:tcW w:type="dxa" w:w="4939"/>
            <w:vAlign w:val="center"/>
          </w:tcPr>
          <w:p>
            <w:pPr>
              <w:spacing w:after="20"/>
            </w:pPr>
            <w:r>
              <w:t>F-09 SOP &amp; Acknowledgement</w:t>
            </w:r>
          </w:p>
        </w:tc>
        <w:tc>
          <w:tcPr>
            <w:tcW w:type="dxa" w:w="4939"/>
            <w:vAlign w:val="center"/>
          </w:tcPr>
          <w:p>
            <w:pPr>
              <w:spacing w:after="20"/>
            </w:pPr>
            <w:r>
              <w:t>Versi SOP; berlaku sejak; disahkan oleh; daftar pengguna sudah membaca; log perubahan.</w:t>
            </w:r>
          </w:p>
        </w:tc>
      </w:tr>
      <w:tr>
        <w:tc>
          <w:tcPr>
            <w:tcW w:type="dxa" w:w="4939"/>
            <w:vAlign w:val="center"/>
          </w:tcPr>
          <w:p>
            <w:pPr>
              <w:spacing w:after="20"/>
            </w:pPr>
            <w:r>
              <w:t>F-10 Weekly Unit Review</w:t>
            </w:r>
          </w:p>
        </w:tc>
        <w:tc>
          <w:tcPr>
            <w:tcW w:type="dxa" w:w="4939"/>
            <w:vAlign w:val="center"/>
          </w:tcPr>
          <w:p>
            <w:pPr>
              <w:spacing w:after="20"/>
            </w:pPr>
            <w:r>
              <w:t>WR I/WR II: target vs hasil, isu, tugas tidak ada brief, overdue, tindakan koreksi, target pekan berikut.</w:t>
            </w:r>
          </w:p>
        </w:tc>
      </w:tr>
    </w:tbl>
    <w:p>
      <w:pPr>
        <w:pStyle w:val="Heading1"/>
      </w:pPr>
      <w:r>
        <w:t>7. Frekuensi Sabtu, pembebasan, dan penilaian yang adil</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74663"/>
          </w:tcPr>
          <w:p>
            <w:pPr>
              <w:spacing w:after="20"/>
            </w:pPr>
            <w:r>
              <w:rPr>
                <w:b/>
                <w:color w:val="FFFFFF"/>
              </w:rPr>
              <w:t>Kategori</w:t>
            </w:r>
          </w:p>
        </w:tc>
        <w:tc>
          <w:tcPr>
            <w:tcW w:type="dxa" w:w="3293"/>
            <w:vAlign w:val="center"/>
            <w:shd w:fill="174663"/>
          </w:tcPr>
          <w:p>
            <w:pPr>
              <w:spacing w:after="20"/>
            </w:pPr>
            <w:r>
              <w:rPr>
                <w:b/>
                <w:color w:val="FFFFFF"/>
              </w:rPr>
              <w:t>Sesi rutin/bulan</w:t>
            </w:r>
          </w:p>
        </w:tc>
        <w:tc>
          <w:tcPr>
            <w:tcW w:type="dxa" w:w="3293"/>
            <w:vAlign w:val="center"/>
            <w:shd w:fill="174663"/>
          </w:tcPr>
          <w:p>
            <w:pPr>
              <w:spacing w:after="20"/>
            </w:pPr>
            <w:r>
              <w:rPr>
                <w:b/>
                <w:color w:val="FFFFFF"/>
              </w:rPr>
              <w:t>Penilaian dan pengecualian</w:t>
            </w:r>
          </w:p>
        </w:tc>
      </w:tr>
      <w:tr>
        <w:tc>
          <w:tcPr>
            <w:tcW w:type="dxa" w:w="3293"/>
            <w:vAlign w:val="center"/>
          </w:tcPr>
          <w:p>
            <w:pPr>
              <w:spacing w:after="20"/>
            </w:pPr>
            <w:r>
              <w:t>Beasiswa 100%</w:t>
            </w:r>
          </w:p>
        </w:tc>
        <w:tc>
          <w:tcPr>
            <w:tcW w:type="dxa" w:w="3293"/>
            <w:vAlign w:val="center"/>
          </w:tcPr>
          <w:p>
            <w:pPr>
              <w:spacing w:after="20"/>
            </w:pPr>
            <w:r>
              <w:t>4</w:t>
            </w:r>
          </w:p>
        </w:tc>
        <w:tc>
          <w:tcPr>
            <w:tcW w:type="dxa" w:w="3293"/>
            <w:vAlign w:val="center"/>
          </w:tcPr>
          <w:p>
            <w:pPr>
              <w:spacing w:after="20"/>
            </w:pPr>
            <w:r>
              <w:t>Tugas bermakna sesuai perjanjian; evidence tetap wajib jika tidak exempt.</w:t>
            </w:r>
          </w:p>
        </w:tc>
      </w:tr>
      <w:tr>
        <w:tc>
          <w:tcPr>
            <w:tcW w:type="dxa" w:w="3293"/>
            <w:vAlign w:val="center"/>
          </w:tcPr>
          <w:p>
            <w:pPr>
              <w:spacing w:after="20"/>
            </w:pPr>
            <w:r>
              <w:t>Beasiswa 70%</w:t>
            </w:r>
          </w:p>
        </w:tc>
        <w:tc>
          <w:tcPr>
            <w:tcW w:type="dxa" w:w="3293"/>
            <w:vAlign w:val="center"/>
          </w:tcPr>
          <w:p>
            <w:pPr>
              <w:spacing w:after="20"/>
            </w:pPr>
            <w:r>
              <w:t>3</w:t>
            </w:r>
          </w:p>
        </w:tc>
        <w:tc>
          <w:tcPr>
            <w:tcW w:type="dxa" w:w="3293"/>
            <w:vAlign w:val="center"/>
          </w:tcPr>
          <w:p>
            <w:pPr>
              <w:spacing w:after="20"/>
            </w:pPr>
            <w:r>
              <w:t>Jadwal resmi; bisa kontribusi pengganti disetujui.</w:t>
            </w:r>
          </w:p>
        </w:tc>
      </w:tr>
      <w:tr>
        <w:tc>
          <w:tcPr>
            <w:tcW w:type="dxa" w:w="3293"/>
            <w:vAlign w:val="center"/>
          </w:tcPr>
          <w:p>
            <w:pPr>
              <w:spacing w:after="20"/>
            </w:pPr>
            <w:r>
              <w:t>Beasiswa 50%</w:t>
            </w:r>
          </w:p>
        </w:tc>
        <w:tc>
          <w:tcPr>
            <w:tcW w:type="dxa" w:w="3293"/>
            <w:vAlign w:val="center"/>
          </w:tcPr>
          <w:p>
            <w:pPr>
              <w:spacing w:after="20"/>
            </w:pPr>
            <w:r>
              <w:t>2</w:t>
            </w:r>
          </w:p>
        </w:tc>
        <w:tc>
          <w:tcPr>
            <w:tcW w:type="dxa" w:w="3293"/>
            <w:vAlign w:val="center"/>
          </w:tcPr>
          <w:p>
            <w:pPr>
              <w:spacing w:after="20"/>
            </w:pPr>
            <w:r>
              <w:t>Jadwal resmi; bisa kontribusi pengganti disetujui.</w:t>
            </w:r>
          </w:p>
        </w:tc>
      </w:tr>
      <w:tr>
        <w:tc>
          <w:tcPr>
            <w:tcW w:type="dxa" w:w="3293"/>
            <w:vAlign w:val="center"/>
          </w:tcPr>
          <w:p>
            <w:pPr>
              <w:spacing w:after="20"/>
            </w:pPr>
            <w:r>
              <w:t>Referensi berhasil &amp; disetujui</w:t>
            </w:r>
          </w:p>
        </w:tc>
        <w:tc>
          <w:tcPr>
            <w:tcW w:type="dxa" w:w="3293"/>
            <w:vAlign w:val="center"/>
          </w:tcPr>
          <w:p>
            <w:pPr>
              <w:spacing w:after="20"/>
            </w:pPr>
            <w:r>
              <w:t>Pembebasan 12 bulan</w:t>
            </w:r>
          </w:p>
        </w:tc>
        <w:tc>
          <w:tcPr>
            <w:tcW w:type="dxa" w:w="3293"/>
            <w:vAlign w:val="center"/>
          </w:tcPr>
          <w:p>
            <w:pPr>
              <w:spacing w:after="20"/>
            </w:pPr>
            <w:r>
              <w:t>Bebas kehadiran rutin Sabtu sepanjang periode sah; tidak dinilai mangkir; kewajiban akademik dan expo sekolah asal tetap sesuai perjanjian.</w:t>
            </w:r>
          </w:p>
        </w:tc>
      </w:tr>
    </w:tbl>
    <w:p>
      <w:r>
        <w:t>Verifikasi referensi memerlukan PMB dan Keuangan; fasilitas pembebasan Sabtu baru aktif setelah keputusan tertulis. Satu referensi tidak otomatis boleh dipakai sekaligus untuk exempt Sabtu dan syarat Taiwan. Alternatif kontribusi exchange (proyek strategis) hanya sah setelah disetujui Rektor sesuai SK.</w:t>
      </w:r>
    </w:p>
    <w:p>
      <w:pPr>
        <w:pStyle w:val="Heading1"/>
      </w:pPr>
      <w:r>
        <w:t>8. Bukti dan quality control</w:t>
      </w:r>
    </w:p>
    <w:p>
      <w:r>
        <w:t>Contoh minimal evidence: konten = brief + versi final + link file + keputusan QC; expo = jadwal + laporan tugas + dokumen bukti kegiatan + debrief; event = proposal + persetujuan + rundown + hasil + AAR; proyek IT = deskripsi kebutuhan + demonstrasi + hasil uji + penerimaan; referral = verifikasi PMB dan Keuangan secara TERBATAS.</w:t>
      </w:r>
    </w:p>
    <w:p>
      <w:r>
        <w:t>Bukti disimpan pada Drive organisasi dengan folder akses terbatas. Link dapat dibuka hanya oleh akun yang berhak; jangan simpan kartu identitas, nomor kontak calon mahasiswa, informasi pembayaran pribadi atau data sensitif di folder konten umum.</w:t>
      </w:r>
    </w:p>
    <w:p>
      <w:r>
        <w:t>Hasil pekerjaan dibedakan: DRAFT, ASSIGNED, IN_PROGRESS, SUBMITTED, REVISION, ACCEPTED, BLOCKED_BY_CAMPUS, CANCELLED_BY_CAMPUS, CLOSED. Pekerjaan tanpa penugasan atau tertunda karena sarana/feedback kampus tidak boleh dihitung sebagai pelanggaran mahasiswa.</w:t>
      </w:r>
    </w:p>
    <w:p>
      <w:pPr>
        <w:pStyle w:val="Heading1"/>
      </w:pPr>
      <w:r>
        <w:t>9. Dashboard yang wajib tersedia</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174663"/>
          </w:tcPr>
          <w:p>
            <w:pPr>
              <w:spacing w:after="20"/>
            </w:pPr>
            <w:r>
              <w:rPr>
                <w:b/>
                <w:color w:val="FFFFFF"/>
              </w:rPr>
              <w:t>Rektor — All Units</w:t>
            </w:r>
          </w:p>
        </w:tc>
        <w:tc>
          <w:tcPr>
            <w:tcW w:type="dxa" w:w="3293"/>
            <w:vAlign w:val="center"/>
            <w:shd w:fill="174663"/>
          </w:tcPr>
          <w:p>
            <w:pPr>
              <w:spacing w:after="20"/>
            </w:pPr>
            <w:r>
              <w:rPr>
                <w:b/>
                <w:color w:val="FFFFFF"/>
              </w:rPr>
              <w:t>WR I — Akademik &amp; Event</w:t>
            </w:r>
          </w:p>
        </w:tc>
        <w:tc>
          <w:tcPr>
            <w:tcW w:type="dxa" w:w="3293"/>
            <w:vAlign w:val="center"/>
            <w:shd w:fill="174663"/>
          </w:tcPr>
          <w:p>
            <w:pPr>
              <w:spacing w:after="20"/>
            </w:pPr>
            <w:r>
              <w:rPr>
                <w:b/>
                <w:color w:val="FFFFFF"/>
              </w:rPr>
              <w:t>WR II — Marketing &amp; PMB</w:t>
            </w:r>
          </w:p>
        </w:tc>
      </w:tr>
      <w:tr>
        <w:tc>
          <w:tcPr>
            <w:tcW w:type="dxa" w:w="3293"/>
            <w:vAlign w:val="center"/>
          </w:tcPr>
          <w:p>
            <w:pPr>
              <w:spacing w:after="20"/>
            </w:pPr>
            <w:r>
              <w:t>Aktif mahasiswa beasiswa; nilai potongan SPP; tugas total/terlambat; kinerja WR I dan WR II; aktivitas bulan ini; output lulus QC; referral terverifikasi; exemption; risiko; keputusan menunggu persetujuan.</w:t>
            </w:r>
          </w:p>
        </w:tc>
        <w:tc>
          <w:tcPr>
            <w:tcW w:type="dxa" w:w="3293"/>
            <w:vAlign w:val="center"/>
          </w:tcPr>
          <w:p>
            <w:pPr>
              <w:spacing w:after="20"/>
            </w:pPr>
            <w:r>
              <w:t>Kalender event; proposal tertunda; seminar/Imlek/showcase; status tugas panitia; kehadiran jalur A; laporan event; kualitas pelaksanaan dan masalah akademik.</w:t>
            </w:r>
          </w:p>
        </w:tc>
        <w:tc>
          <w:tcPr>
            <w:tcW w:type="dxa" w:w="3293"/>
            <w:vAlign w:val="center"/>
          </w:tcPr>
          <w:p>
            <w:pPr>
              <w:spacing w:after="20"/>
            </w:pPr>
            <w:r>
              <w:t>Kalender kampanye; konten draft–QC–accepted–published; expo/presentasi; tugas promoter; referral PMB; status verifikasi Finance terbatas; kinerja campaign.</w:t>
            </w:r>
          </w:p>
        </w:tc>
      </w:tr>
    </w:tbl>
    <w:p>
      <w:r>
        <w:t>Dashboard dibagi menurut unit dan tanggal; tampilan hanya angka yang berasal dari data terverifikasi. Setiap angka wajib bisa diklik untuk melihat daftar record pembentuknya. Default zona waktu Asia/Jakarta.</w:t>
      </w:r>
    </w:p>
    <w:p>
      <w:pPr>
        <w:pStyle w:val="Heading1"/>
      </w:pPr>
      <w:r>
        <w:t>10. Struktur Google Workspace dan arsip data</w:t>
      </w:r>
    </w:p>
    <w:p>
      <w:r>
        <w:t>Satu folder root CSC-MS organisasi dengan subfolder: 00-POLICY-SOP, 01-STUDENT-AGREEMENTS (restricted), 02-WRI-EVENTS, 03-WRII-CONTENT, 04-ACADEMIC, 05-REFERRALS-FINANCE (restricted), 06-WEEKLY-REVIEWS, 07-ANNUAL-DECISIONS (restricted), 08-AUDIT-BACKUP (restricted).</w:t>
      </w:r>
    </w:p>
    <w:p>
      <w:r>
        <w:t>Satu Google Spreadsheet privat memiliki tab: USERS_PROFILE (tanpa password), STUDENTS, SCHOLARSHIP_AWARDS, EVENTS, CAMPAIGNS, TASKS, DELIVERABLES, ATTENDANCE, WEEKLY_SCORES, REFERRALS_RESTRICTED, EXEMPTIONS, ANNUAL_REVIEWS, APPROVALS, SOP_LIBRARY, SOP_ACK, AUDIT_LOG, SETTINGS. Setiap record perlu ID unik, timestamps, updated_by dan status.</w:t>
      </w:r>
    </w:p>
    <w:p>
      <w:r>
        <w:t>Browser tidak memiliki akses langsung dengan kredensial istimewa ke Google Sheets/Drive. Seluruh operasi melewati backend dengan server-side authorization. Backend menjaga konsistensi data, mencegah duplikasi, menangani kuota API, audit, serta backup. Google Sheets bersifat solusi tahap awal, bukan sistem transaksi berskala besar.</w:t>
      </w:r>
    </w:p>
    <w:p>
      <w:pPr>
        <w:pStyle w:val="Heading1"/>
      </w:pPr>
      <w:r>
        <w:t>11. Kalender, alert dan audit manajemen</w:t>
      </w:r>
    </w:p>
    <w:p>
      <w:pPr>
        <w:pStyle w:val="ListNumber"/>
      </w:pPr>
      <w:r>
        <w:t>Setiap awal semester WR I mengunggah kalender event, PIC dan tujuan pendidikan; WR II mengunggah kalender kampanye; Rektor melihat keduanya berdampingan.</w:t>
      </w:r>
    </w:p>
    <w:p>
      <w:pPr>
        <w:pStyle w:val="ListNumber"/>
      </w:pPr>
      <w:r>
        <w:t>Setiap Senin operator memeriksa tugas 7 hari ke depan; setiap akhir minggu WR I dan WR II mereview hasil selesai, perlu revisi, dan keterlambatan.</w:t>
      </w:r>
    </w:p>
    <w:p>
      <w:pPr>
        <w:pStyle w:val="ListNumber"/>
      </w:pPr>
      <w:r>
        <w:t>Alert otomatis: tidak ada event WR I dalam bulan perkuliahan aktif; tidak ada brief WR II minggu berjalan; task lewat tenggat; bukti belum QC; reminder event belum punya proposal; data referral belum diverifikasi; keputusan beasiswa belum disahkan.</w:t>
      </w:r>
    </w:p>
    <w:p>
      <w:pPr>
        <w:pStyle w:val="ListNumber"/>
      </w:pPr>
      <w:r>
        <w:t>Setiap bulan Rektor menerima ringkasan per unit, termasuk alasan jika WR I tidak mengadakan kegiatan atau WR II gagal menyediakan brief/kampanye; ada rencana pemulihan dengan PIC dan tanggal.</w:t>
      </w:r>
    </w:p>
    <w:p>
      <w:pPr>
        <w:pStyle w:val="ListNumber"/>
      </w:pPr>
      <w:r>
        <w:t>Semua perubahan nilai, keputusan, penghapusan dan perpindahan status wajib disimpan di audit log. Backup spreadsheet dan metadata bukti rutin dengan prosedur pemulihan terdokumentasi.</w:t>
      </w:r>
    </w:p>
    <w:p>
      <w:pPr>
        <w:pStyle w:val="Heading1"/>
      </w:pPr>
      <w:r>
        <w:t>12. Checklist penerimaan dan keamanan sebelum go-live</w:t>
      </w:r>
    </w:p>
    <w:p>
      <w:pPr>
        <w:pStyle w:val="ListBullet"/>
      </w:pPr>
      <w:r>
        <w:t>Admin dapat melihat seluruh unit; WR I tidak dapat mengubah status pembayaran PMB; WR II tidak dapat mengubah IPK; operator tidak dapat mengesahkan beasiswa.</w:t>
      </w:r>
    </w:p>
    <w:p>
      <w:pPr>
        <w:pStyle w:val="ListBullet"/>
      </w:pPr>
      <w:r>
        <w:t>Password tidak terlihat dan tidak disimpan sebagai plaintext di Sheet/Drive; tidak ada akun bersama atau kredensial default; login HTTPS dan pengujian reset/disable akun.</w:t>
      </w:r>
    </w:p>
    <w:p>
      <w:pPr>
        <w:pStyle w:val="ListBullet"/>
      </w:pPr>
      <w:r>
        <w:t>Role dan kepemilikan diuji pada backend, bukan hanya menu yang disembunyikan; mahasiswa tidak melihat dokumen mahasiswa lain.</w:t>
      </w:r>
    </w:p>
    <w:p>
      <w:pPr>
        <w:pStyle w:val="ListBullet"/>
      </w:pPr>
      <w:r>
        <w:t>Satu task diuji hingga penerimaan QC; tugas tanpa bukti tidak bisa Accepted; ditolak/revisi punya alasan tercatat.</w:t>
      </w:r>
    </w:p>
    <w:p>
      <w:pPr>
        <w:pStyle w:val="ListBullet"/>
      </w:pPr>
      <w:r>
        <w:t>Fasilitas bebas Sabtu tidak diaktifkan sebelum PMB, Finance, dan keputusan tertulis; laporan absence mengabaikan exempt sah.</w:t>
      </w:r>
    </w:p>
    <w:p>
      <w:pPr>
        <w:pStyle w:val="ListBullet"/>
      </w:pPr>
      <w:r>
        <w:t>WR I membuat event serta laporan setelah kegiatan; WR II membuat kampanye dan review konten; Rektor melihat dashboard per unit.</w:t>
      </w:r>
    </w:p>
    <w:p>
      <w:pPr>
        <w:pStyle w:val="ListBullet"/>
      </w:pPr>
      <w:r>
        <w:t>Rumus evaluasi 60/25/15 dan kategori IPK mengikuti SK; perubahan bobot hanya oleh admin dan tercatat.</w:t>
      </w:r>
    </w:p>
    <w:p>
      <w:pPr>
        <w:pStyle w:val="ListBullet"/>
      </w:pPr>
      <w:r>
        <w:t>Data diuji backup, restore, export CSV/XLSX, log aktivitas dan pembatasan akses Drive.</w:t>
      </w:r>
    </w:p>
    <w:p>
      <w:pPr>
        <w:pStyle w:val="ListBullet"/>
      </w:pPr>
      <w:r>
        <w:t>Domain subdomain dan integrasi Google disetel oleh pemegang akses DNS/Google Cloud; tidak mengunggah service-account key ke file publik.</w:t>
      </w:r>
    </w:p>
    <w:p>
      <w:pPr>
        <w:pStyle w:val="Heading1"/>
      </w:pPr>
      <w:r>
        <w:t>13. Peralihan dari sistem Excel ke portal</w:t>
      </w:r>
    </w:p>
    <w:p>
      <w:r>
        <w:t>SOP WR I/WR II yang sudah disahkan tetap berlaku dalam substansi. Pencatatan Excel digunakan hanya sebagai arsip historis atau cadangan baca-saja setelah tanggal cutover disahkan Rektor. Data awal diimpor ke portal setelah deduplikasi NIM, kategori beasiswa, status exemption dan bukti. Semua mahasiswa lama dinilai sesuai perjanjian dan ketentuan peralihan SK, tanpa kewajiban retroaktif.</w:t>
      </w:r>
    </w:p>
    <w:p>
      <w:r>
        <w:t>Sebelum cutover, lakukan pilot minimal satu siklus event WR I dan satu siklus kampanye WR II dengan bukti dari briefing sampai review; pimpinan menguji dashboard dan keamanan. Setelah lolos, Rektor menetapkan tanggal penggunaan portal sebagai register operasional resmi.</w:t>
      </w:r>
    </w:p>
    <w:p>
      <w:pPr>
        <w:pStyle w:val="Heading1"/>
      </w:pPr>
      <w:r>
        <w:t>14. Pengesahan dan tanggung jawab</w:t>
      </w:r>
    </w:p>
    <w:p>
      <w:r>
        <w:t>Disusun oleh Operator Sistem: _______________________</w:t>
      </w:r>
    </w:p>
    <w:p>
      <w:r>
        <w:t>Diperiksa Wakil Rektor I: ___________________________</w:t>
      </w:r>
    </w:p>
    <w:p>
      <w:r>
        <w:t>Diperiksa Wakil Rektor II: __________________________</w:t>
      </w:r>
    </w:p>
    <w:p>
      <w:r>
        <w:t>Ditetapkan Rektor ITB Carnegie: _____________________</w:t>
      </w:r>
    </w:p>
    <w:p>
      <w:r>
        <w:t>Tanggal berlaku sistem web: ________________________</w:t>
      </w:r>
    </w:p>
    <w:sectPr w:rsidR="00FC693F" w:rsidRPr="0006063C" w:rsidSect="00034616">
      <w:headerReference w:type="default" r:id="rId9"/>
      <w:footerReference w:type="default" r:id="rId10"/>
      <w:pgSz w:w="12240" w:h="15840"/>
      <w:pgMar w:top="1080"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727D"/>
        <w:sz w:val="14"/>
      </w:rPr>
      <w:t>SOP CSC-MS WEB v2.0  |  TA 2027/2028  |  Internal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A5171"/>
        <w:sz w:val="16"/>
      </w:rPr>
      <w:t>ITB CARNEGIE  •  CSC-MS WEB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9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24966"/>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85974"/>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8647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304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