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t>INSTITUT TEKNOLOGI DAN BISNIS CARNEGIE</w:t>
      </w:r>
    </w:p>
    <w:p>
      <w:pPr>
        <w:pStyle w:val="Title"/>
      </w:pPr>
      <w:r>
        <w:t>SOP PENGELOLAAN KONTRIBUSI MAHASISWA PENERIMA BEASISWA</w:t>
      </w:r>
    </w:p>
    <w:p>
      <w:pPr>
        <w:spacing w:after="80"/>
      </w:pPr>
      <w:r>
        <w:t>CARNEGIE SCHOLARSHIP CONTRIBUTION MANAGEMENT SYSTEM (CSC-MS)</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6324F"/>
          </w:tcPr>
          <w:p>
            <w:r>
              <w:rPr>
                <w:b/>
                <w:color w:val="FFFFFF"/>
                <w:sz w:val="16"/>
              </w:rPr>
              <w:t>Identitas</w:t>
            </w:r>
          </w:p>
        </w:tc>
        <w:tc>
          <w:tcPr>
            <w:tcW w:type="dxa" w:w="4939"/>
            <w:shd w:fill="16324F"/>
          </w:tcPr>
          <w:p>
            <w:r>
              <w:rPr>
                <w:b/>
                <w:color w:val="FFFFFF"/>
                <w:sz w:val="16"/>
              </w:rPr>
              <w:t>Rincian</w:t>
            </w:r>
          </w:p>
        </w:tc>
      </w:tr>
      <w:tr>
        <w:trPr>
          <w:cantSplit/>
        </w:trPr>
        <w:tc>
          <w:tcPr>
            <w:tcW w:type="dxa" w:w="4939"/>
            <w:vAlign w:val="center"/>
          </w:tcPr>
          <w:p>
            <w:pPr>
              <w:spacing w:after="40"/>
            </w:pPr>
            <w:r>
              <w:rPr>
                <w:sz w:val="15"/>
              </w:rPr>
              <w:t>Kode dokumen</w:t>
            </w:r>
          </w:p>
        </w:tc>
        <w:tc>
          <w:tcPr>
            <w:tcW w:type="dxa" w:w="4939"/>
            <w:vAlign w:val="center"/>
          </w:tcPr>
          <w:p>
            <w:pPr>
              <w:spacing w:after="40"/>
            </w:pPr>
            <w:r>
              <w:rPr>
                <w:sz w:val="15"/>
              </w:rPr>
              <w:t>SOP-ITBC-BEA-001/2027</w:t>
            </w:r>
          </w:p>
        </w:tc>
      </w:tr>
      <w:tr>
        <w:trPr>
          <w:cantSplit/>
        </w:trPr>
        <w:tc>
          <w:tcPr>
            <w:tcW w:type="dxa" w:w="4939"/>
            <w:vAlign w:val="center"/>
            <w:shd w:fill="F0F5F7"/>
          </w:tcPr>
          <w:p>
            <w:pPr>
              <w:spacing w:after="40"/>
            </w:pPr>
            <w:r>
              <w:rPr>
                <w:sz w:val="15"/>
              </w:rPr>
              <w:t>Versi / status</w:t>
            </w:r>
          </w:p>
        </w:tc>
        <w:tc>
          <w:tcPr>
            <w:tcW w:type="dxa" w:w="4939"/>
            <w:vAlign w:val="center"/>
            <w:shd w:fill="F0F5F7"/>
          </w:tcPr>
          <w:p>
            <w:r>
              <w:t>1.1  •  DRAFT REVISI PEMBAGIAN TUGAS WR I DAN WR II</w:t>
            </w:r>
          </w:p>
        </w:tc>
      </w:tr>
      <w:tr>
        <w:trPr>
          <w:cantSplit/>
        </w:trPr>
        <w:tc>
          <w:tcPr>
            <w:tcW w:type="dxa" w:w="4939"/>
            <w:vAlign w:val="center"/>
          </w:tcPr>
          <w:p>
            <w:pPr>
              <w:spacing w:after="40"/>
            </w:pPr>
            <w:r>
              <w:rPr>
                <w:sz w:val="15"/>
              </w:rPr>
              <w:t>Berlaku untuk</w:t>
            </w:r>
          </w:p>
        </w:tc>
        <w:tc>
          <w:tcPr>
            <w:tcW w:type="dxa" w:w="4939"/>
            <w:vAlign w:val="center"/>
          </w:tcPr>
          <w:p>
            <w:pPr>
              <w:spacing w:after="40"/>
            </w:pPr>
            <w:r>
              <w:rPr>
                <w:sz w:val="15"/>
              </w:rPr>
              <w:t>Penerima beasiswa internal 100%, 70%, dan 50%; mahasiswa lama sesuai kesepakatan/perjanjian yang sah</w:t>
            </w:r>
          </w:p>
        </w:tc>
      </w:tr>
      <w:tr>
        <w:trPr>
          <w:cantSplit/>
        </w:trPr>
        <w:tc>
          <w:tcPr>
            <w:tcW w:type="dxa" w:w="4939"/>
            <w:vAlign w:val="center"/>
            <w:shd w:fill="F0F5F7"/>
          </w:tcPr>
          <w:p>
            <w:pPr>
              <w:spacing w:after="40"/>
            </w:pPr>
            <w:r>
              <w:rPr>
                <w:sz w:val="15"/>
              </w:rPr>
              <w:t>Pemilik proses</w:t>
            </w:r>
          </w:p>
        </w:tc>
        <w:tc>
          <w:tcPr>
            <w:tcW w:type="dxa" w:w="4939"/>
            <w:vAlign w:val="center"/>
            <w:shd w:fill="F0F5F7"/>
          </w:tcPr>
          <w:p>
            <w:r>
              <w:t>WR I: kegiatan &amp; pembinaan mahasiswa; WR II: kontribusi marketing, sales enablement, PMB; koordinasi bersama untuk evaluasi beasiswa</w:t>
            </w:r>
          </w:p>
        </w:tc>
      </w:tr>
      <w:tr>
        <w:trPr>
          <w:cantSplit/>
        </w:trPr>
        <w:tc>
          <w:tcPr>
            <w:tcW w:type="dxa" w:w="4939"/>
            <w:vAlign w:val="center"/>
          </w:tcPr>
          <w:p>
            <w:pPr>
              <w:spacing w:after="40"/>
            </w:pPr>
            <w:r>
              <w:rPr>
                <w:sz w:val="15"/>
              </w:rPr>
              <w:t>Unit terkait</w:t>
            </w:r>
          </w:p>
        </w:tc>
        <w:tc>
          <w:tcPr>
            <w:tcW w:type="dxa" w:w="4939"/>
            <w:vAlign w:val="center"/>
          </w:tcPr>
          <w:p>
            <w:r>
              <w:t>WR I, WR II, Akademik, Kemahasiswaan, PMB/Marketing, Content, Event, Keuangan, Carnegie School (bila kolaborasi disetujui)</w:t>
            </w:r>
          </w:p>
        </w:tc>
      </w:tr>
      <w:tr>
        <w:trPr>
          <w:cantSplit/>
        </w:trPr>
        <w:tc>
          <w:tcPr>
            <w:tcW w:type="dxa" w:w="4939"/>
            <w:vAlign w:val="center"/>
            <w:shd w:fill="F0F5F7"/>
          </w:tcPr>
          <w:p>
            <w:pPr>
              <w:spacing w:after="40"/>
            </w:pPr>
            <w:r>
              <w:rPr>
                <w:sz w:val="15"/>
              </w:rPr>
              <w:t>Persetujuan akhir</w:t>
            </w:r>
          </w:p>
        </w:tc>
        <w:tc>
          <w:tcPr>
            <w:tcW w:type="dxa" w:w="4939"/>
            <w:vAlign w:val="center"/>
            <w:shd w:fill="F0F5F7"/>
          </w:tcPr>
          <w:p>
            <w:pPr>
              <w:spacing w:after="40"/>
            </w:pPr>
            <w:r>
              <w:rPr>
                <w:sz w:val="15"/>
              </w:rPr>
              <w:t>Rektor ITB Carnegie</w:t>
            </w:r>
          </w:p>
        </w:tc>
      </w:tr>
      <w:tr>
        <w:trPr>
          <w:cantSplit/>
        </w:trPr>
        <w:tc>
          <w:tcPr>
            <w:tcW w:type="dxa" w:w="4939"/>
            <w:vAlign w:val="center"/>
          </w:tcPr>
          <w:p>
            <w:pPr>
              <w:spacing w:after="40"/>
            </w:pPr>
            <w:r>
              <w:rPr>
                <w:sz w:val="15"/>
              </w:rPr>
              <w:t>Dokumen terkait</w:t>
            </w:r>
          </w:p>
        </w:tc>
        <w:tc>
          <w:tcPr>
            <w:tcW w:type="dxa" w:w="4939"/>
            <w:vAlign w:val="center"/>
          </w:tcPr>
          <w:p>
            <w:pPr>
              <w:spacing w:after="40"/>
            </w:pPr>
            <w:r>
              <w:rPr>
                <w:sz w:val="15"/>
              </w:rPr>
              <w:t>SK Induk Beasiswa TA 2027/2028; Perjanjian Beasiswa; Formulir FR-01 s.d. FR-08</w:t>
            </w:r>
          </w:p>
        </w:tc>
      </w:tr>
    </w:tbl>
    <w:p/>
    <w:p>
      <w:pPr>
        <w:pStyle w:val="Heading1"/>
        <w:spacing w:before="180" w:after="80"/>
      </w:pPr>
      <w:r>
        <w:t>TUJUAN MANAJEMEN</w:t>
      </w:r>
    </w:p>
    <w:p>
      <w:pPr>
        <w:spacing w:after="80"/>
      </w:pPr>
      <w:r>
        <w:t>Setiap kontribusi mahasiswa harus memiliki penugasan, target, PIC, bukti, dan verifikasi. WR I WAJIB menghidupkan kalender kegiatan mahasiswa (seminar, perayaan, pelatihan, pameran karya, kegiatan sosial), sedangkan WR II WAJIB menggerakkan portofolio kontribusi marketing dan pengembangan penerimaan mahasiswa (konten, stories, feeds, expo, presentasi, campus ambassador). Kehadiran maupun aktivitas charity tanpa target tidak menggantikan seluruh kewajiban kontribusi. Seluruh penugasan harus edukatif, proporsional, aman, dan tidak menggantikan kebutuhan staf tetap.</w:t>
      </w:r>
    </w:p>
    <w:p>
      <w:pPr>
        <w:pStyle w:val="Heading1"/>
        <w:spacing w:before="180" w:after="80"/>
      </w:pPr>
      <w:r>
        <w:t>ATURAN POKOK</w:t>
      </w:r>
    </w:p>
    <w:p>
      <w:pPr>
        <w:pStyle w:val="ListBullet"/>
      </w:pPr>
      <w:r>
        <w:t>1 tugas = 1 Task ID; setiap Task ID memiliki PIC, target, tenggat, dan tautan bukti.</w:t>
      </w:r>
    </w:p>
    <w:p>
      <w:pPr>
        <w:pStyle w:val="ListBullet"/>
      </w:pPr>
      <w:r>
        <w:t>Tugas baru dipublikasikan sebelum sesi; mahasiswa tidak boleh diberi nilai nol ketika tidak menerima tugas.</w:t>
      </w:r>
    </w:p>
    <w:p>
      <w:pPr>
        <w:pStyle w:val="ListBullet"/>
      </w:pPr>
      <w:r>
        <w:t>Kredit hasil hanya diberikan setelah status DITERIMA dan bukti diverifikasi. Kehadiran dicatat terpisah.</w:t>
      </w:r>
    </w:p>
    <w:p>
      <w:pPr>
        <w:pStyle w:val="ListBullet"/>
      </w:pPr>
      <w:r>
        <w:t>Dispensasi sah, pembatalan tugas oleh kampus, dan pembebasan Sabtu berdasarkan referensi tidak dianggap gagal.</w:t>
      </w:r>
    </w:p>
    <w:p>
      <w:pPr>
        <w:pStyle w:val="ListBullet"/>
      </w:pPr>
      <w:r>
        <w:t>WR I memimpin evaluasi hasil event dan kegiatan mahasiswa; WR II memimpin evaluasi proyek marketing/PMB. Keduanya menyampaikan rekap mingguan dan ringkasan bulanan bersama kepada Rektor. Tidak boleh ada aktivitas tanpa pemilik tugas yang jelas.</w:t>
      </w:r>
    </w:p>
    <w:p>
      <w:pPr>
        <w:pStyle w:val="Heading1"/>
        <w:spacing w:before="180" w:after="80"/>
      </w:pPr>
      <w:r>
        <w:t>1. Tujuan, ruang lingkup dan dasar</w:t>
      </w:r>
    </w:p>
    <w:p>
      <w:pPr>
        <w:spacing w:after="80"/>
      </w:pPr>
      <w:r>
        <w:t>SOP ini menjabarkan pelaksanaan SK Induk Beasiswa TA 2027/2028 dengan pemisahan dua jalur kontribusi: (A) Program Kegiatan &amp; Kepemimpinan Mahasiswa di bawah WR I dan (B) Marketing, Konten &amp; PMB di bawah WR II. SOP mencakup rencana program, penugasan, pembinaan, absensi, bukti, verifikasi, rubrik, rujukan mahasiswa baru, dan rekap evaluasi perpanjangan. Target operasional di bawah ini merupakan standar rancangan untuk disahkan dan dievaluasi sesuai anggaran, jadwal kuliah, serta kapasitas mahasiswa.</w:t>
      </w:r>
    </w:p>
    <w:p>
      <w:pPr>
        <w:pStyle w:val="Heading1"/>
        <w:spacing w:before="180" w:after="80"/>
      </w:pPr>
      <w:r>
        <w:t>2. Matriks kegiatan rutin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6324F"/>
          </w:tcPr>
          <w:p>
            <w:r>
              <w:rPr>
                <w:b/>
                <w:color w:val="FFFFFF"/>
                <w:sz w:val="16"/>
              </w:rPr>
              <w:t>Kategori</w:t>
            </w:r>
          </w:p>
        </w:tc>
        <w:tc>
          <w:tcPr>
            <w:tcW w:type="dxa" w:w="3293"/>
            <w:shd w:fill="16324F"/>
          </w:tcPr>
          <w:p>
            <w:r>
              <w:rPr>
                <w:b/>
                <w:color w:val="FFFFFF"/>
                <w:sz w:val="16"/>
              </w:rPr>
              <w:t>Frekuensi rutin</w:t>
            </w:r>
          </w:p>
        </w:tc>
        <w:tc>
          <w:tcPr>
            <w:tcW w:type="dxa" w:w="3293"/>
            <w:shd w:fill="16324F"/>
          </w:tcPr>
          <w:p>
            <w:r>
              <w:rPr>
                <w:b/>
                <w:color w:val="FFFFFF"/>
                <w:sz w:val="16"/>
              </w:rPr>
              <w:t>Catatan</w:t>
            </w:r>
          </w:p>
        </w:tc>
      </w:tr>
      <w:tr>
        <w:trPr>
          <w:cantSplit/>
        </w:trPr>
        <w:tc>
          <w:tcPr>
            <w:tcW w:type="dxa" w:w="3293"/>
            <w:vAlign w:val="center"/>
          </w:tcPr>
          <w:p>
            <w:pPr>
              <w:spacing w:after="40"/>
            </w:pPr>
            <w:r>
              <w:rPr>
                <w:sz w:val="15"/>
              </w:rPr>
              <w:t>100%</w:t>
            </w:r>
          </w:p>
        </w:tc>
        <w:tc>
          <w:tcPr>
            <w:tcW w:type="dxa" w:w="3293"/>
            <w:vAlign w:val="center"/>
          </w:tcPr>
          <w:p>
            <w:pPr>
              <w:spacing w:after="40"/>
            </w:pPr>
            <w:r>
              <w:rPr>
                <w:sz w:val="15"/>
              </w:rPr>
              <w:t>4 kali per bulan</w:t>
            </w:r>
          </w:p>
        </w:tc>
        <w:tc>
          <w:tcPr>
            <w:tcW w:type="dxa" w:w="3293"/>
            <w:vAlign w:val="center"/>
          </w:tcPr>
          <w:p>
            <w:pPr>
              <w:spacing w:after="40"/>
            </w:pPr>
            <w:r>
              <w:rPr>
                <w:sz w:val="15"/>
              </w:rPr>
              <w:t>Kegiatan terstruktur sesuai Rencana Kontribusi Individu (RCI).</w:t>
            </w:r>
          </w:p>
        </w:tc>
      </w:tr>
      <w:tr>
        <w:trPr>
          <w:cantSplit/>
        </w:trPr>
        <w:tc>
          <w:tcPr>
            <w:tcW w:type="dxa" w:w="3293"/>
            <w:vAlign w:val="center"/>
            <w:shd w:fill="F0F5F7"/>
          </w:tcPr>
          <w:p>
            <w:pPr>
              <w:spacing w:after="40"/>
            </w:pPr>
            <w:r>
              <w:rPr>
                <w:sz w:val="15"/>
              </w:rPr>
              <w:t>70%</w:t>
            </w:r>
          </w:p>
        </w:tc>
        <w:tc>
          <w:tcPr>
            <w:tcW w:type="dxa" w:w="3293"/>
            <w:vAlign w:val="center"/>
            <w:shd w:fill="F0F5F7"/>
          </w:tcPr>
          <w:p>
            <w:pPr>
              <w:spacing w:after="40"/>
            </w:pPr>
            <w:r>
              <w:rPr>
                <w:sz w:val="15"/>
              </w:rPr>
              <w:t>3 kali per bulan</w:t>
            </w:r>
          </w:p>
        </w:tc>
        <w:tc>
          <w:tcPr>
            <w:tcW w:type="dxa" w:w="3293"/>
            <w:vAlign w:val="center"/>
            <w:shd w:fill="F0F5F7"/>
          </w:tcPr>
          <w:p>
            <w:pPr>
              <w:spacing w:after="40"/>
            </w:pPr>
            <w:r>
              <w:rPr>
                <w:sz w:val="15"/>
              </w:rPr>
              <w:t>Target proporsional terhadap kategori dan kapasitas mahasiswa.</w:t>
            </w:r>
          </w:p>
        </w:tc>
      </w:tr>
      <w:tr>
        <w:trPr>
          <w:cantSplit/>
        </w:trPr>
        <w:tc>
          <w:tcPr>
            <w:tcW w:type="dxa" w:w="3293"/>
            <w:vAlign w:val="center"/>
          </w:tcPr>
          <w:p>
            <w:pPr>
              <w:spacing w:after="40"/>
            </w:pPr>
            <w:r>
              <w:rPr>
                <w:sz w:val="15"/>
              </w:rPr>
              <w:t>50%</w:t>
            </w:r>
          </w:p>
        </w:tc>
        <w:tc>
          <w:tcPr>
            <w:tcW w:type="dxa" w:w="3293"/>
            <w:vAlign w:val="center"/>
          </w:tcPr>
          <w:p>
            <w:pPr>
              <w:spacing w:after="40"/>
            </w:pPr>
            <w:r>
              <w:rPr>
                <w:sz w:val="15"/>
              </w:rPr>
              <w:t>2 kali per bulan</w:t>
            </w:r>
          </w:p>
        </w:tc>
        <w:tc>
          <w:tcPr>
            <w:tcW w:type="dxa" w:w="3293"/>
            <w:vAlign w:val="center"/>
          </w:tcPr>
          <w:p>
            <w:pPr>
              <w:spacing w:after="40"/>
            </w:pPr>
            <w:r>
              <w:rPr>
                <w:sz w:val="15"/>
              </w:rPr>
              <w:t>Kegiatan prioritas dan terarah; tidak sekadar hadir.</w:t>
            </w:r>
          </w:p>
        </w:tc>
      </w:tr>
      <w:tr>
        <w:trPr>
          <w:cantSplit/>
        </w:trPr>
        <w:tc>
          <w:tcPr>
            <w:tcW w:type="dxa" w:w="3293"/>
            <w:vAlign w:val="center"/>
            <w:shd w:fill="F0F5F7"/>
          </w:tcPr>
          <w:p>
            <w:pPr>
              <w:spacing w:after="40"/>
            </w:pPr>
            <w:r>
              <w:rPr>
                <w:sz w:val="15"/>
              </w:rPr>
              <w:t>Fasilitas referensi disetujui</w:t>
            </w:r>
          </w:p>
        </w:tc>
        <w:tc>
          <w:tcPr>
            <w:tcW w:type="dxa" w:w="3293"/>
            <w:vAlign w:val="center"/>
            <w:shd w:fill="F0F5F7"/>
          </w:tcPr>
          <w:p>
            <w:pPr>
              <w:spacing w:after="40"/>
            </w:pPr>
            <w:r>
              <w:rPr>
                <w:sz w:val="15"/>
              </w:rPr>
              <w:t>Bebas rutin Sabtu sesuai surat persetujuan</w:t>
            </w:r>
          </w:p>
        </w:tc>
        <w:tc>
          <w:tcPr>
            <w:tcW w:type="dxa" w:w="3293"/>
            <w:vAlign w:val="center"/>
            <w:shd w:fill="F0F5F7"/>
          </w:tcPr>
          <w:p>
            <w:pPr>
              <w:spacing w:after="40"/>
            </w:pPr>
            <w:r>
              <w:rPr>
                <w:sz w:val="15"/>
              </w:rPr>
              <w:t>Referensi direkam di log PMB/Keuangan; kegiatan akademik dan komitmen lain tetap mengikuti perjanjian.</w:t>
            </w:r>
          </w:p>
        </w:tc>
      </w:tr>
    </w:tbl>
    <w:p/>
    <w:p>
      <w:pPr>
        <w:spacing w:after="80"/>
      </w:pPr>
      <w:r>
        <w:t>Durasi acuan adalah maksimal 3 jam per sesi sebagaimana rancangan perjanjian; jam/tugas di luar acuan memerlukan kesepakatan tersendiri. Kehadiran pengganti hari lain harus disetujui sebelumnya. Jika jumlah Sabtu pada bulan tertentu berbeda, frekuensi mengikuti jumlah yang tercantum dalam perjanjian/penetapan.</w:t>
      </w:r>
    </w:p>
    <w:p>
      <w:pPr>
        <w:pStyle w:val="Heading1"/>
        <w:spacing w:before="180" w:after="80"/>
      </w:pPr>
      <w:r>
        <w:t>3. Pemilik proses dan pembagian kewenangan</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6324F"/>
            <w:vAlign w:val="center"/>
          </w:tcPr>
          <w:p>
            <w:r>
              <w:rPr>
                <w:b/>
                <w:color w:val="FFFFFF"/>
                <w:sz w:val="16"/>
              </w:rPr>
              <w:t>Peran</w:t>
            </w:r>
          </w:p>
        </w:tc>
        <w:tc>
          <w:tcPr>
            <w:tcW w:type="dxa" w:w="3293"/>
            <w:shd w:fill="16324F"/>
            <w:vAlign w:val="center"/>
          </w:tcPr>
          <w:p>
            <w:r>
              <w:rPr>
                <w:b/>
                <w:color w:val="FFFFFF"/>
                <w:sz w:val="16"/>
              </w:rPr>
              <w:t>Akuntabilitas</w:t>
            </w:r>
          </w:p>
        </w:tc>
        <w:tc>
          <w:tcPr>
            <w:tcW w:type="dxa" w:w="3293"/>
            <w:shd w:fill="16324F"/>
            <w:vAlign w:val="center"/>
          </w:tcPr>
          <w:p>
            <w:r>
              <w:rPr>
                <w:b/>
                <w:color w:val="FFFFFF"/>
                <w:sz w:val="16"/>
              </w:rPr>
              <w:t>Yang diserahkan</w:t>
            </w:r>
          </w:p>
        </w:tc>
      </w:tr>
      <w:tr>
        <w:trPr>
          <w:cantSplit/>
        </w:trPr>
        <w:tc>
          <w:tcPr>
            <w:tcW w:type="dxa" w:w="3293"/>
            <w:vAlign w:val="center"/>
          </w:tcPr>
          <w:p>
            <w:pPr>
              <w:spacing w:after="40"/>
            </w:pPr>
            <w:r>
              <w:rPr>
                <w:sz w:val="16"/>
              </w:rPr>
              <w:t>Rektor</w:t>
            </w:r>
          </w:p>
        </w:tc>
        <w:tc>
          <w:tcPr>
            <w:tcW w:type="dxa" w:w="3293"/>
            <w:vAlign w:val="center"/>
          </w:tcPr>
          <w:p>
            <w:pPr>
              <w:spacing w:after="40"/>
            </w:pPr>
            <w:r>
              <w:rPr>
                <w:sz w:val="16"/>
              </w:rPr>
              <w:t>Mengesahkan arah dan kalender kegiatan utama, anggaran sesuai kewenangan, pengecualian strategis, serta penetapan/perpanjangan beasiswa.</w:t>
            </w:r>
          </w:p>
        </w:tc>
        <w:tc>
          <w:tcPr>
            <w:tcW w:type="dxa" w:w="3293"/>
            <w:vAlign w:val="center"/>
          </w:tcPr>
          <w:p>
            <w:pPr>
              <w:spacing w:after="40"/>
            </w:pPr>
            <w:r>
              <w:rPr>
                <w:sz w:val="16"/>
              </w:rPr>
              <w:t>Keputusan tertulis; review dashboard bulanan.</w:t>
            </w:r>
          </w:p>
        </w:tc>
      </w:tr>
      <w:tr>
        <w:trPr>
          <w:cantSplit/>
        </w:trPr>
        <w:tc>
          <w:tcPr>
            <w:tcW w:type="dxa" w:w="3293"/>
            <w:vAlign w:val="center"/>
          </w:tcPr>
          <w:p>
            <w:pPr>
              <w:spacing w:after="40"/>
            </w:pPr>
            <w:r>
              <w:rPr>
                <w:sz w:val="16"/>
              </w:rPr>
              <w:t>WR I — akademik &amp; kegiatan mahasiswa</w:t>
            </w:r>
          </w:p>
        </w:tc>
        <w:tc>
          <w:tcPr>
            <w:tcW w:type="dxa" w:w="3293"/>
            <w:vAlign w:val="center"/>
          </w:tcPr>
          <w:p>
            <w:pPr>
              <w:spacing w:after="40"/>
            </w:pPr>
            <w:r>
              <w:rPr>
                <w:sz w:val="16"/>
              </w:rPr>
              <w:t>OWNER Jalur A: menerbitkan kalender semester; menyelenggarakan seminar, event mahasiswa, perayaan Imlek, workshop, student showcase, pengabdian/charity bermakna; menjaga kesesuaian akademik, IPK dan jadwal; memastikan setiap event memiliki panitia mahasiswa dan laporan hasil.</w:t>
            </w:r>
          </w:p>
        </w:tc>
        <w:tc>
          <w:tcPr>
            <w:tcW w:type="dxa" w:w="3293"/>
            <w:vAlign w:val="center"/>
          </w:tcPr>
          <w:p>
            <w:pPr>
              <w:spacing w:after="40"/>
            </w:pPr>
            <w:r>
              <w:rPr>
                <w:sz w:val="16"/>
              </w:rPr>
              <w:t>Kalender kegiatan; 1 lembar event brief; bukti event; rekap kontribusi Jalur A; data akademik.</w:t>
            </w:r>
          </w:p>
        </w:tc>
      </w:tr>
      <w:tr>
        <w:trPr>
          <w:cantSplit/>
        </w:trPr>
        <w:tc>
          <w:tcPr>
            <w:tcW w:type="dxa" w:w="3293"/>
            <w:vAlign w:val="center"/>
          </w:tcPr>
          <w:p>
            <w:pPr>
              <w:spacing w:after="40"/>
            </w:pPr>
            <w:r>
              <w:rPr>
                <w:sz w:val="16"/>
              </w:rPr>
              <w:t>WR II — marketing &amp; sales enablement</w:t>
            </w:r>
          </w:p>
        </w:tc>
        <w:tc>
          <w:tcPr>
            <w:tcW w:type="dxa" w:w="3293"/>
            <w:vAlign w:val="center"/>
          </w:tcPr>
          <w:p>
            <w:pPr>
              <w:spacing w:after="40"/>
            </w:pPr>
            <w:r>
              <w:rPr>
                <w:sz w:val="16"/>
              </w:rPr>
              <w:t>OWNER Jalur B: memimpin content/story/feed/video, expo pendidikan, school visit, presentasi, campus ambassador dan referral; membangun kalender kampanye dan pipeline tugas kreatif; memastikan hasil diperiksa PMB/Content.</w:t>
            </w:r>
          </w:p>
        </w:tc>
        <w:tc>
          <w:tcPr>
            <w:tcW w:type="dxa" w:w="3293"/>
            <w:vAlign w:val="center"/>
          </w:tcPr>
          <w:p>
            <w:pPr>
              <w:spacing w:after="40"/>
            </w:pPr>
            <w:r>
              <w:rPr>
                <w:sz w:val="16"/>
              </w:rPr>
              <w:t>Kalender kampanye; brief mingguan; output terverifikasi; log expo/PMB; rekap Jalur B.</w:t>
            </w:r>
          </w:p>
        </w:tc>
      </w:tr>
      <w:tr>
        <w:trPr>
          <w:cantSplit/>
        </w:trPr>
        <w:tc>
          <w:tcPr>
            <w:tcW w:type="dxa" w:w="3293"/>
            <w:vAlign w:val="center"/>
          </w:tcPr>
          <w:p>
            <w:pPr>
              <w:spacing w:after="40"/>
            </w:pPr>
            <w:r>
              <w:rPr>
                <w:sz w:val="16"/>
              </w:rPr>
              <w:t>Operator Kemahasiswaan / Admin CSC-MS</w:t>
            </w:r>
          </w:p>
        </w:tc>
        <w:tc>
          <w:tcPr>
            <w:tcW w:type="dxa" w:w="3293"/>
            <w:vAlign w:val="center"/>
          </w:tcPr>
          <w:p>
            <w:pPr>
              <w:spacing w:after="40"/>
            </w:pPr>
            <w:r>
              <w:rPr>
                <w:sz w:val="16"/>
              </w:rPr>
              <w:t>Menetapkan satu owner pada setiap Task ID (WR I atau WR II), membuat jadwal, mengelola daftar tugas, absensi, tautan bukti, tenggat dan rekap lintas unit.</w:t>
            </w:r>
          </w:p>
        </w:tc>
        <w:tc>
          <w:tcPr>
            <w:tcW w:type="dxa" w:w="3293"/>
            <w:vAlign w:val="center"/>
          </w:tcPr>
          <w:p>
            <w:pPr>
              <w:spacing w:after="40"/>
            </w:pPr>
            <w:r>
              <w:rPr>
                <w:sz w:val="16"/>
              </w:rPr>
              <w:t>Register task/absensi/bukti terintegrasi; laporan tertunda dan revisi.</w:t>
            </w:r>
          </w:p>
        </w:tc>
      </w:tr>
      <w:tr>
        <w:trPr>
          <w:cantSplit/>
        </w:trPr>
        <w:tc>
          <w:tcPr>
            <w:tcW w:type="dxa" w:w="3293"/>
            <w:vAlign w:val="center"/>
          </w:tcPr>
          <w:p>
            <w:pPr>
              <w:spacing w:after="40"/>
            </w:pPr>
            <w:r>
              <w:rPr>
                <w:sz w:val="16"/>
              </w:rPr>
              <w:t>PIC Event / Dosen Pembina (WR I)</w:t>
            </w:r>
          </w:p>
        </w:tc>
        <w:tc>
          <w:tcPr>
            <w:tcW w:type="dxa" w:w="3293"/>
            <w:vAlign w:val="center"/>
          </w:tcPr>
          <w:p>
            <w:pPr>
              <w:spacing w:after="40"/>
            </w:pPr>
            <w:r>
              <w:rPr>
                <w:sz w:val="16"/>
              </w:rPr>
              <w:t>Menyusun event proposal, rundown, panitia, tugas individual, supervisi lapangan, serta mengevaluasi proyek dan bukti.</w:t>
            </w:r>
          </w:p>
        </w:tc>
        <w:tc>
          <w:tcPr>
            <w:tcW w:type="dxa" w:w="3293"/>
            <w:vAlign w:val="center"/>
          </w:tcPr>
          <w:p>
            <w:pPr>
              <w:spacing w:after="40"/>
            </w:pPr>
            <w:r>
              <w:rPr>
                <w:sz w:val="16"/>
              </w:rPr>
              <w:t>FR-01, FR-02, FR-03/04, laporan event &amp; after-action review.</w:t>
            </w:r>
          </w:p>
        </w:tc>
      </w:tr>
      <w:tr>
        <w:trPr>
          <w:cantSplit/>
        </w:trPr>
        <w:tc>
          <w:tcPr>
            <w:tcW w:type="dxa" w:w="3293"/>
            <w:vAlign w:val="center"/>
          </w:tcPr>
          <w:p>
            <w:pPr>
              <w:spacing w:after="40"/>
            </w:pPr>
            <w:r>
              <w:rPr>
                <w:sz w:val="16"/>
              </w:rPr>
              <w:t>PIC Content / Marketing / PMB (WR II)</w:t>
            </w:r>
          </w:p>
        </w:tc>
        <w:tc>
          <w:tcPr>
            <w:tcW w:type="dxa" w:w="3293"/>
            <w:vAlign w:val="center"/>
          </w:tcPr>
          <w:p>
            <w:pPr>
              <w:spacing w:after="40"/>
            </w:pPr>
            <w:r>
              <w:rPr>
                <w:sz w:val="16"/>
              </w:rPr>
              <w:t>Menyusun brief komunikasi yang faktual; menyediakan materi/alat; menilai konten, dukungan expo/presentasi dan proyek PMB; melindungi data calon mahasiswa.</w:t>
            </w:r>
          </w:p>
        </w:tc>
        <w:tc>
          <w:tcPr>
            <w:tcW w:type="dxa" w:w="3293"/>
            <w:vAlign w:val="center"/>
          </w:tcPr>
          <w:p>
            <w:pPr>
              <w:spacing w:after="40"/>
            </w:pPr>
            <w:r>
              <w:rPr>
                <w:sz w:val="16"/>
              </w:rPr>
              <w:t>FR-01, FR-03/04, portofolio konten dan log kegiatan marketing.</w:t>
            </w:r>
          </w:p>
        </w:tc>
      </w:tr>
      <w:tr>
        <w:trPr>
          <w:cantSplit/>
        </w:trPr>
        <w:tc>
          <w:tcPr>
            <w:tcW w:type="dxa" w:w="3293"/>
            <w:vAlign w:val="center"/>
          </w:tcPr>
          <w:p>
            <w:pPr>
              <w:spacing w:after="40"/>
            </w:pPr>
            <w:r>
              <w:rPr>
                <w:sz w:val="16"/>
              </w:rPr>
              <w:t>PMB dan Keuangan</w:t>
            </w:r>
          </w:p>
        </w:tc>
        <w:tc>
          <w:tcPr>
            <w:tcW w:type="dxa" w:w="3293"/>
            <w:vAlign w:val="center"/>
          </w:tcPr>
          <w:p>
            <w:pPr>
              <w:spacing w:after="40"/>
            </w:pPr>
            <w:r>
              <w:rPr>
                <w:sz w:val="16"/>
              </w:rPr>
              <w:t>Memverifikasi sumber referral, daftar ulang, pembayaran, serta penggunaan satu referensi untuk fasilitas yang disetujui.</w:t>
            </w:r>
          </w:p>
        </w:tc>
        <w:tc>
          <w:tcPr>
            <w:tcW w:type="dxa" w:w="3293"/>
            <w:vAlign w:val="center"/>
          </w:tcPr>
          <w:p>
            <w:pPr>
              <w:spacing w:after="40"/>
            </w:pPr>
            <w:r>
              <w:rPr>
                <w:sz w:val="16"/>
              </w:rPr>
              <w:t>FR-07 / verifikasi resmi referensi.</w:t>
            </w:r>
          </w:p>
        </w:tc>
      </w:tr>
      <w:tr>
        <w:trPr>
          <w:cantSplit/>
        </w:trPr>
        <w:tc>
          <w:tcPr>
            <w:tcW w:type="dxa" w:w="3293"/>
            <w:vAlign w:val="center"/>
          </w:tcPr>
          <w:p>
            <w:pPr>
              <w:spacing w:after="40"/>
            </w:pPr>
            <w:r>
              <w:rPr>
                <w:sz w:val="16"/>
              </w:rPr>
              <w:t>Mahasiswa penerima beasiswa</w:t>
            </w:r>
          </w:p>
        </w:tc>
        <w:tc>
          <w:tcPr>
            <w:tcW w:type="dxa" w:w="3293"/>
            <w:vAlign w:val="center"/>
          </w:tcPr>
          <w:p>
            <w:pPr>
              <w:spacing w:after="40"/>
            </w:pPr>
            <w:r>
              <w:rPr>
                <w:sz w:val="16"/>
              </w:rPr>
              <w:t>Melaksanakan tugas sesuai rencana kontribusi dan jadwal yang disepakati, menyerahkan bukti, melakukan revisi yang wajar.</w:t>
            </w:r>
          </w:p>
        </w:tc>
        <w:tc>
          <w:tcPr>
            <w:tcW w:type="dxa" w:w="3293"/>
            <w:vAlign w:val="center"/>
          </w:tcPr>
          <w:p>
            <w:pPr>
              <w:spacing w:after="40"/>
            </w:pPr>
            <w:r>
              <w:rPr>
                <w:sz w:val="16"/>
              </w:rPr>
              <w:t>Karya/proyek, bukti, dan refleksi singkat.</w:t>
            </w:r>
          </w:p>
        </w:tc>
      </w:tr>
    </w:tbl>
    <w:p/>
    <w:p>
      <w:pPr>
        <w:pStyle w:val="Heading1"/>
        <w:spacing w:before="180" w:after="80"/>
      </w:pPr>
      <w:r>
        <w:t>3A. Dua jalur program, target minimal, dan kalender aktivitas</w:t>
      </w:r>
    </w:p>
    <w:p>
      <w:pPr>
        <w:spacing w:after="80"/>
      </w:pPr>
      <w:r>
        <w:t>Jalur A (WR I) harus memiliki kegiatan nyata yang direncanakan sepanjang semester. Standar usulan setelah disahkan: sekurang-kurangnya satu kegiatan mahasiswa terprogram setiap bulan perkuliahan aktif dan satu kegiatan unggulan (flagship) per semester. Kegiatan bisa berupa seminar, lokakarya, Imlek, leadership, student project showcase, kompetisi, service learning, atau acara mahasiswa lain yang relevan. Kalender diterbitkan sebelum semester dan ditinjau setiap bulan; bulan libur akademik atau keadaan khusus dapat dijadwal ulang dengan persetujuan tertulis Rektor.</w:t>
      </w:r>
    </w:p>
    <w:p>
      <w:pPr>
        <w:spacing w:after="80"/>
      </w:pPr>
      <w:r>
        <w:t>Jalur B (WR II) harus menyediakan pipeline kampanye dan tugas marketing yang berkelanjutan: brief konten mingguan, kalender story/feed/video, dukungan expo/open house, presentasi sekolah, dan campus ambassador. Minimal satu kampanye atau proyek marketing aktif per bulan perkuliahan; volume karya ditetapkan berdasar kapasitas PIC dan mahasiswa, bukan target viral atau jumlah pendaftaran yang wajib dijamin mahasiswa.</w:t>
      </w:r>
    </w:p>
    <w:p>
      <w:pPr>
        <w:spacing w:after="80"/>
      </w:pPr>
      <w:r>
        <w:t>Pembagian rencana tugas antardua jalur bersifat fleksibel sesuai bakat dan kebutuhan: seorang mahasiswa dapat mendapat tugas pada kedua jalur, tetapi setiap Task ID wajib mempunyai satu owner (WR I atau WR II), satu PIC pelaksana, output terukur, dan bukti. Tidak boleh saling melempar tanggung jawab atau menunggu mahasiswa mengusulkan acara sendiri.</w:t>
      </w:r>
    </w:p>
    <w:tbl>
      <w:tblPr>
        <w:tblStyle w:val="TableGrid"/>
        <w:tblW w:type="auto" w:w="0"/>
        <w:tblLayout w:type="fixed"/>
        <w:tblLook w:firstColumn="1" w:firstRow="1" w:lastColumn="0" w:lastRow="0" w:noHBand="0" w:noVBand="1" w:val="04A0"/>
      </w:tblPr>
      <w:tblGrid>
        <w:gridCol w:w="3293"/>
        <w:gridCol w:w="3293"/>
        <w:gridCol w:w="3293"/>
      </w:tblGrid>
      <w:tr>
        <w:trPr>
          <w:cantSplit/>
        </w:trPr>
        <w:tc>
          <w:tcPr>
            <w:tcW w:type="dxa" w:w="1872"/>
            <w:vAlign w:val="center"/>
          </w:tcPr>
          <w:p>
            <w:pPr>
              <w:spacing w:after="40"/>
            </w:pPr>
            <w:r>
              <w:rPr>
                <w:sz w:val="15"/>
              </w:rPr>
              <w:t>Jalur / pemilik</w:t>
            </w:r>
          </w:p>
        </w:tc>
        <w:tc>
          <w:tcPr>
            <w:tcW w:type="dxa" w:w="3816"/>
            <w:vAlign w:val="center"/>
          </w:tcPr>
          <w:p>
            <w:pPr>
              <w:spacing w:after="40"/>
            </w:pPr>
            <w:r>
              <w:rPr>
                <w:sz w:val="15"/>
              </w:rPr>
              <w:t>Keluaran minimum untuk dipantau</w:t>
            </w:r>
          </w:p>
        </w:tc>
        <w:tc>
          <w:tcPr>
            <w:tcW w:type="dxa" w:w="4104"/>
            <w:vAlign w:val="center"/>
          </w:tcPr>
          <w:p>
            <w:pPr>
              <w:spacing w:after="40"/>
            </w:pPr>
            <w:r>
              <w:rPr>
                <w:sz w:val="15"/>
              </w:rPr>
              <w:t>Bukti yang wajib tersedia</w:t>
            </w:r>
          </w:p>
        </w:tc>
      </w:tr>
      <w:tr>
        <w:trPr>
          <w:cantSplit/>
        </w:trPr>
        <w:tc>
          <w:tcPr>
            <w:tcW w:type="dxa" w:w="1872"/>
            <w:vAlign w:val="center"/>
          </w:tcPr>
          <w:p>
            <w:pPr>
              <w:spacing w:after="40"/>
            </w:pPr>
            <w:r>
              <w:rPr>
                <w:sz w:val="15"/>
              </w:rPr>
              <w:t>A — WR I</w:t>
            </w:r>
          </w:p>
        </w:tc>
        <w:tc>
          <w:tcPr>
            <w:tcW w:type="dxa" w:w="3816"/>
            <w:vAlign w:val="center"/>
          </w:tcPr>
          <w:p>
            <w:pPr>
              <w:spacing w:after="40"/>
            </w:pPr>
            <w:r>
              <w:rPr>
                <w:sz w:val="15"/>
              </w:rPr>
              <w:t>Kalender semester; ≥1 kegiatan terprogram/bulan aktif; ≥1 kegiatan unggulan/semester (target usulan).</w:t>
            </w:r>
          </w:p>
        </w:tc>
        <w:tc>
          <w:tcPr>
            <w:tcW w:type="dxa" w:w="4104"/>
            <w:vAlign w:val="center"/>
          </w:tcPr>
          <w:p>
            <w:pPr>
              <w:spacing w:after="40"/>
            </w:pPr>
            <w:r>
              <w:rPr>
                <w:sz w:val="15"/>
              </w:rPr>
              <w:t>Persetujuan kegiatan, rundown, panitia, tugas per mahasiswa, foto/video sesuai izin, laporan &amp; evaluasi.</w:t>
            </w:r>
          </w:p>
        </w:tc>
      </w:tr>
      <w:tr>
        <w:trPr>
          <w:cantSplit/>
        </w:trPr>
        <w:tc>
          <w:tcPr>
            <w:tcW w:type="dxa" w:w="1872"/>
            <w:vAlign w:val="center"/>
          </w:tcPr>
          <w:p>
            <w:pPr>
              <w:spacing w:after="40"/>
            </w:pPr>
            <w:r>
              <w:rPr>
                <w:sz w:val="15"/>
              </w:rPr>
              <w:t>B — WR II</w:t>
            </w:r>
          </w:p>
        </w:tc>
        <w:tc>
          <w:tcPr>
            <w:tcW w:type="dxa" w:w="3816"/>
            <w:vAlign w:val="center"/>
          </w:tcPr>
          <w:p>
            <w:pPr>
              <w:spacing w:after="40"/>
            </w:pPr>
            <w:r>
              <w:rPr>
                <w:sz w:val="15"/>
              </w:rPr>
              <w:t>Kalender kampanye; brief tugas konten setiap minggu aktif; ≥1 kampanye/proyek marketing aktif/bulan (target usulan).</w:t>
            </w:r>
          </w:p>
        </w:tc>
        <w:tc>
          <w:tcPr>
            <w:tcW w:type="dxa" w:w="4104"/>
            <w:vAlign w:val="center"/>
          </w:tcPr>
          <w:p>
            <w:pPr>
              <w:spacing w:after="40"/>
            </w:pPr>
            <w:r>
              <w:rPr>
                <w:sz w:val="15"/>
              </w:rPr>
              <w:t>Tautan materi final/revisi, konten story/feed/video, daftar expo/presentasi, laporan PMB terverifikasi.</w:t>
            </w:r>
          </w:p>
        </w:tc>
      </w:tr>
    </w:tbl>
    <w:p>
      <w:pPr>
        <w:pStyle w:val="Heading1"/>
        <w:spacing w:before="180" w:after="80"/>
      </w:pPr>
      <w:r>
        <w:t>4. Alur wajib mingguan (SOP eksekusi)</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6324F"/>
            <w:vAlign w:val="center"/>
          </w:tcPr>
          <w:p>
            <w:r>
              <w:rPr>
                <w:b/>
                <w:color w:val="FFFFFF"/>
                <w:sz w:val="16"/>
              </w:rPr>
              <w:t>Kapan</w:t>
            </w:r>
          </w:p>
        </w:tc>
        <w:tc>
          <w:tcPr>
            <w:tcW w:type="dxa" w:w="3293"/>
            <w:shd w:fill="16324F"/>
            <w:vAlign w:val="center"/>
          </w:tcPr>
          <w:p>
            <w:r>
              <w:rPr>
                <w:b/>
                <w:color w:val="FFFFFF"/>
                <w:sz w:val="16"/>
              </w:rPr>
              <w:t>Langkah &amp; ketentuan</w:t>
            </w:r>
          </w:p>
        </w:tc>
        <w:tc>
          <w:tcPr>
            <w:tcW w:type="dxa" w:w="3293"/>
            <w:shd w:fill="16324F"/>
            <w:vAlign w:val="center"/>
          </w:tcPr>
          <w:p>
            <w:r>
              <w:rPr>
                <w:b/>
                <w:color w:val="FFFFFF"/>
                <w:sz w:val="16"/>
              </w:rPr>
              <w:t>Penanggung jawab / formulir</w:t>
            </w:r>
          </w:p>
        </w:tc>
      </w:tr>
      <w:tr>
        <w:trPr>
          <w:cantSplit/>
        </w:trPr>
        <w:tc>
          <w:tcPr>
            <w:tcW w:type="dxa" w:w="3293"/>
            <w:vAlign w:val="center"/>
          </w:tcPr>
          <w:p>
            <w:pPr>
              <w:spacing w:after="40"/>
            </w:pPr>
            <w:r>
              <w:rPr>
                <w:sz w:val="16"/>
              </w:rPr>
              <w:t>Awal semester, diperbarui bulanan</w:t>
            </w:r>
          </w:p>
        </w:tc>
        <w:tc>
          <w:tcPr>
            <w:tcW w:type="dxa" w:w="3293"/>
            <w:vAlign w:val="center"/>
          </w:tcPr>
          <w:p>
            <w:pPr>
              <w:spacing w:after="40"/>
            </w:pPr>
            <w:r>
              <w:rPr>
                <w:sz w:val="16"/>
              </w:rPr>
              <w:t>WR I menerbitkan kalender event; WR II kalender campaign/PMB. Keduanya menyampaikan kapasitas panitia, PIC, dan kebutuhan mahasiswa.</w:t>
            </w:r>
          </w:p>
        </w:tc>
        <w:tc>
          <w:tcPr>
            <w:tcW w:type="dxa" w:w="3293"/>
            <w:vAlign w:val="center"/>
          </w:tcPr>
          <w:p>
            <w:pPr>
              <w:spacing w:after="40"/>
            </w:pPr>
            <w:r>
              <w:rPr>
                <w:sz w:val="16"/>
              </w:rPr>
              <w:t>WR I / WR II / kalender dan rencana kontribusi</w:t>
            </w:r>
          </w:p>
        </w:tc>
      </w:tr>
      <w:tr>
        <w:trPr>
          <w:cantSplit/>
        </w:trPr>
        <w:tc>
          <w:tcPr>
            <w:tcW w:type="dxa" w:w="3293"/>
            <w:vAlign w:val="center"/>
          </w:tcPr>
          <w:p>
            <w:pPr>
              <w:spacing w:after="40"/>
            </w:pPr>
            <w:r>
              <w:rPr>
                <w:sz w:val="16"/>
              </w:rPr>
              <w:t>Senin–Rabu</w:t>
            </w:r>
          </w:p>
        </w:tc>
        <w:tc>
          <w:tcPr>
            <w:tcW w:type="dxa" w:w="3293"/>
            <w:vAlign w:val="center"/>
          </w:tcPr>
          <w:p>
            <w:pPr>
              <w:spacing w:after="40"/>
            </w:pPr>
            <w:r>
              <w:rPr>
                <w:sz w:val="16"/>
              </w:rPr>
              <w:t>Unit sesuai jalur menyerahkan brief dengan output dan bukti yang diperlukan; operator mencatat Task ID dan owner WR I atau WR II.</w:t>
            </w:r>
          </w:p>
        </w:tc>
        <w:tc>
          <w:tcPr>
            <w:tcW w:type="dxa" w:w="3293"/>
            <w:vAlign w:val="center"/>
          </w:tcPr>
          <w:p>
            <w:pPr>
              <w:spacing w:after="40"/>
            </w:pPr>
            <w:r>
              <w:rPr>
                <w:sz w:val="16"/>
              </w:rPr>
              <w:t>PIC Jalur A atau B + Operator / FR-01</w:t>
            </w:r>
          </w:p>
        </w:tc>
      </w:tr>
      <w:tr>
        <w:trPr>
          <w:cantSplit/>
        </w:trPr>
        <w:tc>
          <w:tcPr>
            <w:tcW w:type="dxa" w:w="3293"/>
            <w:vAlign w:val="center"/>
          </w:tcPr>
          <w:p>
            <w:pPr>
              <w:spacing w:after="40"/>
            </w:pPr>
            <w:r>
              <w:rPr>
                <w:sz w:val="16"/>
              </w:rPr>
              <w:t>Kamis sebelum sesi</w:t>
            </w:r>
          </w:p>
        </w:tc>
        <w:tc>
          <w:tcPr>
            <w:tcW w:type="dxa" w:w="3293"/>
            <w:vAlign w:val="center"/>
          </w:tcPr>
          <w:p>
            <w:pPr>
              <w:spacing w:after="40"/>
            </w:pPr>
            <w:r>
              <w:rPr>
                <w:sz w:val="16"/>
              </w:rPr>
              <w:t>Masing-masing owner menyetujui tugas, jadwal, PIC dan alat; operator menyampaikan jadwal kepada mahasiswa.</w:t>
            </w:r>
          </w:p>
        </w:tc>
        <w:tc>
          <w:tcPr>
            <w:tcW w:type="dxa" w:w="3293"/>
            <w:vAlign w:val="center"/>
          </w:tcPr>
          <w:p>
            <w:pPr>
              <w:spacing w:after="40"/>
            </w:pPr>
            <w:r>
              <w:rPr>
                <w:sz w:val="16"/>
              </w:rPr>
              <w:t>WR I untuk event; WR II untuk marketing / FR-01</w:t>
            </w:r>
          </w:p>
        </w:tc>
      </w:tr>
      <w:tr>
        <w:trPr>
          <w:cantSplit/>
        </w:trPr>
        <w:tc>
          <w:tcPr>
            <w:tcW w:type="dxa" w:w="3293"/>
            <w:vAlign w:val="center"/>
          </w:tcPr>
          <w:p>
            <w:pPr>
              <w:spacing w:after="40"/>
            </w:pPr>
            <w:r>
              <w:rPr>
                <w:sz w:val="16"/>
              </w:rPr>
              <w:t>Hari kegiatan</w:t>
            </w:r>
          </w:p>
        </w:tc>
        <w:tc>
          <w:tcPr>
            <w:tcW w:type="dxa" w:w="3293"/>
            <w:vAlign w:val="center"/>
          </w:tcPr>
          <w:p>
            <w:pPr>
              <w:spacing w:after="40"/>
            </w:pPr>
            <w:r>
              <w:rPr>
                <w:sz w:val="16"/>
              </w:rPr>
              <w:t>Brief, pelaksanaan, absensi dan dokumentasi. Tugas event harus memiliki peran nyata; tugas marketing harus menghasilkan artefak/progress.</w:t>
            </w:r>
          </w:p>
        </w:tc>
        <w:tc>
          <w:tcPr>
            <w:tcW w:type="dxa" w:w="3293"/>
            <w:vAlign w:val="center"/>
          </w:tcPr>
          <w:p>
            <w:pPr>
              <w:spacing w:after="40"/>
            </w:pPr>
            <w:r>
              <w:rPr>
                <w:sz w:val="16"/>
              </w:rPr>
              <w:t>PIC terkait + Mahasiswa / FR-02</w:t>
            </w:r>
          </w:p>
        </w:tc>
      </w:tr>
      <w:tr>
        <w:trPr>
          <w:cantSplit/>
        </w:trPr>
        <w:tc>
          <w:tcPr>
            <w:tcW w:type="dxa" w:w="3293"/>
            <w:vAlign w:val="center"/>
          </w:tcPr>
          <w:p>
            <w:pPr>
              <w:spacing w:after="40"/>
            </w:pPr>
            <w:r>
              <w:rPr>
                <w:sz w:val="16"/>
              </w:rPr>
              <w:t>Maks. 2 hari kalender sesudah sesi*</w:t>
            </w:r>
          </w:p>
        </w:tc>
        <w:tc>
          <w:tcPr>
            <w:tcW w:type="dxa" w:w="3293"/>
            <w:vAlign w:val="center"/>
          </w:tcPr>
          <w:p>
            <w:pPr>
              <w:spacing w:after="40"/>
            </w:pPr>
            <w:r>
              <w:rPr>
                <w:sz w:val="16"/>
              </w:rPr>
              <w:t>Mahasiswa mengunggah hasil dan bukti dengan Task ID; tenggat khusus event, video besar atau proyek IT ditulis di brief.</w:t>
            </w:r>
          </w:p>
        </w:tc>
        <w:tc>
          <w:tcPr>
            <w:tcW w:type="dxa" w:w="3293"/>
            <w:vAlign w:val="center"/>
          </w:tcPr>
          <w:p>
            <w:pPr>
              <w:spacing w:after="40"/>
            </w:pPr>
            <w:r>
              <w:rPr>
                <w:sz w:val="16"/>
              </w:rPr>
              <w:t>Mahasiswa / FR-03</w:t>
            </w:r>
          </w:p>
        </w:tc>
      </w:tr>
      <w:tr>
        <w:trPr>
          <w:cantSplit/>
        </w:trPr>
        <w:tc>
          <w:tcPr>
            <w:tcW w:type="dxa" w:w="3293"/>
            <w:vAlign w:val="center"/>
          </w:tcPr>
          <w:p>
            <w:pPr>
              <w:spacing w:after="40"/>
            </w:pPr>
            <w:r>
              <w:rPr>
                <w:sz w:val="16"/>
              </w:rPr>
              <w:t>Dalam 3 hari kerja setelah bukti</w:t>
            </w:r>
          </w:p>
        </w:tc>
        <w:tc>
          <w:tcPr>
            <w:tcW w:type="dxa" w:w="3293"/>
            <w:vAlign w:val="center"/>
          </w:tcPr>
          <w:p>
            <w:pPr>
              <w:spacing w:after="40"/>
            </w:pPr>
            <w:r>
              <w:rPr>
                <w:sz w:val="16"/>
              </w:rPr>
              <w:t>PIC memeriksa hasil dan rubrik, memberi status Diterima/Perlu Revisi/penyesuaian disertai alasan.</w:t>
            </w:r>
          </w:p>
        </w:tc>
        <w:tc>
          <w:tcPr>
            <w:tcW w:type="dxa" w:w="3293"/>
            <w:vAlign w:val="center"/>
          </w:tcPr>
          <w:p>
            <w:pPr>
              <w:spacing w:after="40"/>
            </w:pPr>
            <w:r>
              <w:rPr>
                <w:sz w:val="16"/>
              </w:rPr>
              <w:t>PIC Event (WR I) atau PIC Marketing (WR II) / FR-04</w:t>
            </w:r>
          </w:p>
        </w:tc>
      </w:tr>
      <w:tr>
        <w:trPr>
          <w:cantSplit/>
        </w:trPr>
        <w:tc>
          <w:tcPr>
            <w:tcW w:type="dxa" w:w="3293"/>
            <w:vAlign w:val="center"/>
          </w:tcPr>
          <w:p>
            <w:pPr>
              <w:spacing w:after="40"/>
            </w:pPr>
            <w:r>
              <w:rPr>
                <w:sz w:val="16"/>
              </w:rPr>
              <w:t>Jumat minggu berikutnya</w:t>
            </w:r>
          </w:p>
        </w:tc>
        <w:tc>
          <w:tcPr>
            <w:tcW w:type="dxa" w:w="3293"/>
            <w:vAlign w:val="center"/>
          </w:tcPr>
          <w:p>
            <w:pPr>
              <w:spacing w:after="40"/>
            </w:pPr>
            <w:r>
              <w:rPr>
                <w:sz w:val="16"/>
              </w:rPr>
              <w:t>Operator menutup status; WR I melihat jalur event dan WR II melihat jalur marketing; rapat koordinasi singkat untuk hambatan lintas jalur.</w:t>
            </w:r>
          </w:p>
        </w:tc>
        <w:tc>
          <w:tcPr>
            <w:tcW w:type="dxa" w:w="3293"/>
            <w:vAlign w:val="center"/>
          </w:tcPr>
          <w:p>
            <w:pPr>
              <w:spacing w:after="40"/>
            </w:pPr>
            <w:r>
              <w:rPr>
                <w:sz w:val="16"/>
              </w:rPr>
              <w:t>WR I + WR II + Operator / FR-05</w:t>
            </w:r>
          </w:p>
        </w:tc>
      </w:tr>
      <w:tr>
        <w:trPr>
          <w:cantSplit/>
        </w:trPr>
        <w:tc>
          <w:tcPr>
            <w:tcW w:type="dxa" w:w="3293"/>
            <w:vAlign w:val="center"/>
          </w:tcPr>
          <w:p>
            <w:pPr>
              <w:spacing w:after="40"/>
            </w:pPr>
            <w:r>
              <w:rPr>
                <w:sz w:val="16"/>
              </w:rPr>
              <w:t>Hari kerja ke-5 bulan berikutnya</w:t>
            </w:r>
          </w:p>
        </w:tc>
        <w:tc>
          <w:tcPr>
            <w:tcW w:type="dxa" w:w="3293"/>
            <w:vAlign w:val="center"/>
          </w:tcPr>
          <w:p>
            <w:pPr>
              <w:spacing w:after="40"/>
            </w:pPr>
            <w:r>
              <w:rPr>
                <w:sz w:val="16"/>
              </w:rPr>
              <w:t>Dua pemilik proses menyerahkan ringkasan capaian, karya/event yang selesai, masalah, dan rencana bulan berikutnya kepada Rektor.</w:t>
            </w:r>
          </w:p>
        </w:tc>
        <w:tc>
          <w:tcPr>
            <w:tcW w:type="dxa" w:w="3293"/>
            <w:vAlign w:val="center"/>
          </w:tcPr>
          <w:p>
            <w:pPr>
              <w:spacing w:after="40"/>
            </w:pPr>
            <w:r>
              <w:rPr>
                <w:sz w:val="16"/>
              </w:rPr>
              <w:t>WR I + WR II / FR-06 dan dashboard</w:t>
            </w:r>
          </w:p>
        </w:tc>
      </w:tr>
    </w:tbl>
    <w:p/>
    <w:p>
      <w:pPr>
        <w:spacing w:after="80"/>
      </w:pPr>
      <w:r>
        <w:t>*Tenggat operasional untuk video besar, event atau proyek IT dapat berbeda jika tertulis pada FR-01. Tidak ada sanksi pada mahasiswa jika keterlambatan disebabkan keterlambatan feedback atau sarana dari kampus.</w:t>
      </w:r>
    </w:p>
    <w:p>
      <w:pPr>
        <w:pStyle w:val="Heading1"/>
        <w:spacing w:before="180" w:after="80"/>
      </w:pPr>
      <w:r>
        <w:t>4A. Prosedur wajib WR I — Akademik, seminar, dan kegiatan mahasiswa</w:t>
      </w:r>
    </w:p>
    <w:p>
      <w:pPr>
        <w:pStyle w:val="ListBullet"/>
      </w:pPr>
      <w:r>
        <w:t>WR I wajib menyusun dan mengumumkan Kalender Kegiatan Mahasiswa per semester. Kalender memuat minimal: nama kegiatan, tujuan pendidikan, waktu, PIC dosen/pembina, ketua panitia mahasiswa, peserta/sasaran, kebutuhan dukungan, keluaran, dan batas penyerahan laporan. Jangan menunggu mahasiswa mengusulkan acara tanpa fasilitasi.</w:t>
      </w:r>
    </w:p>
    <w:p>
      <w:pPr>
        <w:pStyle w:val="ListBullet"/>
      </w:pPr>
      <w:r>
        <w:t>Setiap kegiatan harus dimulai dengan Event Brief/Proposal yang memuat tujuan, agenda, rundown, daftar tugas panitia, daftar risiko dan keselamatan, anggaran (bila ada) dan persetujuan pejabat berwenang. Jika sekolah menjadi mitra, perlu persetujuan PIC Carnegie School dan pemisahan anggaran/penanggung jawab.</w:t>
      </w:r>
    </w:p>
    <w:p>
      <w:pPr>
        <w:pStyle w:val="ListBullet"/>
      </w:pPr>
      <w:r>
        <w:t>WR I menugaskan mahasiswa sebagai panitia yang benar-benar belajar: misalnya ketua proyek, MC, penyusun rundown, publikasi kegiatan, liaison peserta, perlengkapan, registrasi, dokumentasi dengan izin, atau pelaporan. Minimal tiap mahasiswa punya tugas dan bukti personal — bukan hanya hadir sebagai penonton.</w:t>
      </w:r>
    </w:p>
    <w:p>
      <w:pPr>
        <w:pStyle w:val="ListBullet"/>
      </w:pPr>
      <w:r>
        <w:t>Contoh kegiatan: Perayaan Imlek mahasiswa; seminar kepemimpinan, kewirausahaan atau IT; student project showcase; kompetisi kampus; forum karakter; pengabdian masyarakat. Model yang sudah sering dilaksanakan Carnegie School seperti YAWP (You Are Wonderful Parents), Summer Camp dan 5-Day Di Zi Gui Class dapat dijadikan inspirasi atau kolaborasi resmi apabila disetujui kedua institusi, bukan otomatis dianggap kegiatan ITB Carnegie.</w:t>
      </w:r>
    </w:p>
    <w:p>
      <w:pPr>
        <w:pStyle w:val="ListBullet"/>
      </w:pPr>
      <w:r>
        <w:t>Setelah acara, PIC Event menutup FR-04 dan membuat After-Action Report maksimal 5 hari kerja: jumlah peserta, rundown terlaksana, karya/kontribusi mahasiswa, bukti, umpan balik peserta, biaya aktual jika ada, hal yang perlu diperbaiki, dan rencana tindak lanjut.</w:t>
      </w:r>
    </w:p>
    <w:p>
      <w:pPr>
        <w:pStyle w:val="ListBullet"/>
      </w:pPr>
      <w:r>
        <w:t>Apabila satu bulan perkuliahan aktif tidak memiliki kegiatan WR I yang terjadwal atau terlaksana, WR I wajib menyampaikan alasan dan rencana pemulihan tertulis kepada Rektor dalam laporan bulanan. Kegiatan charity boleh dilakukan tetapi tidak boleh menjadi satu-satunya pola program setiap semester.</w:t>
      </w:r>
    </w:p>
    <w:p>
      <w:pPr>
        <w:pStyle w:val="Heading1"/>
        <w:spacing w:before="180" w:after="80"/>
      </w:pPr>
      <w:r>
        <w:t>4B. Prosedur wajib WR II — Marketing, konten, expo, dan sales enablement</w:t>
      </w:r>
    </w:p>
    <w:p>
      <w:pPr>
        <w:pStyle w:val="ListBullet"/>
      </w:pPr>
      <w:r>
        <w:t>WR II wajib membuat kalender kampanye bulanan dan daftar brief mingguan bagi mahasiswa: konten video, IG Story, feed/poster, copywriting, wawancara mahasiswa, liputan event, expo, school visit, presentasi, informasi program, serta tindak lanjut calon mahasiswa yang patut dan sesuai izin.</w:t>
      </w:r>
    </w:p>
    <w:p>
      <w:pPr>
        <w:pStyle w:val="ListBullet"/>
      </w:pPr>
      <w:r>
        <w:t>Setiap content brief memuat audiens sasaran, pesan utama yang dapat dibuktikan, format dan spesifikasi teknis, durasi, referensi branding, deadline draft, kriteria revisi, PIC editor/pemeriksa, serta kebutuhan persetujuan publikasi. Contoh: 1 video vertikal tentang jurusan TI; 3 story kegiatan kampus; 1 carousel pengenalan program studi.</w:t>
      </w:r>
    </w:p>
    <w:p>
      <w:pPr>
        <w:pStyle w:val="ListBullet"/>
      </w:pPr>
      <w:r>
        <w:t>Hasil marketing diukur dari konten atau kegiatan yang benar-benar selesai dan lolos QC, bukan hanya ide atau janji. Data lead/referral, daftar ulang, dan pembayaran hanya diakui setelah diverifikasi PMB dan Keuangan. Mahasiswa tidak dijamin mampu menghasilkan pendaftaran atau jumlah view tertentu.</w:t>
      </w:r>
    </w:p>
    <w:p>
      <w:pPr>
        <w:pStyle w:val="ListBullet"/>
      </w:pPr>
      <w:r>
        <w:t>Expo dan presentasi harus memiliki Task ID, penanggung jawab, materi yang disetujui, jadwal serta dokumentasi; evaluasi meliputi kesiapan, ketepatan informasi, etika, kualitas komunikasi, dan tindak lanjut oleh PMB.</w:t>
      </w:r>
    </w:p>
    <w:p>
      <w:pPr>
        <w:pStyle w:val="ListBullet"/>
      </w:pPr>
      <w:r>
        <w:t>WR II tidak boleh memindahkan seluruh pekerjaan pemasaran rutin karyawan menjadi kewajiban mahasiswa. PIC kampus tetap bertanggung jawab atas kualitas konten, persetujuan publikasi, CRM/lead, transaksi dan tindak lanjut profesional.</w:t>
      </w:r>
    </w:p>
    <w:p>
      <w:pPr>
        <w:pStyle w:val="ListBullet"/>
      </w:pPr>
      <w:r>
        <w:t>Bila pipeline konten mingguan atau kampanye bulanan tidak tersedia, WR II wajib melaporkan hambatan dan rencana pemulihan. Mahasiswa tidak diberi nilai gagal atas ketiadaan brief, akses produksi, peralatan, atau feedback dari PIC.</w:t>
      </w:r>
    </w:p>
    <w:p>
      <w:pPr>
        <w:pStyle w:val="Heading1"/>
        <w:spacing w:before="180" w:after="80"/>
      </w:pPr>
      <w:r>
        <w:t>5. Aturan pemberian tugas (assignment control)</w:t>
      </w:r>
    </w:p>
    <w:p>
      <w:pPr>
        <w:pStyle w:val="ListBullet"/>
      </w:pPr>
      <w:r>
        <w:t>Tugas didistribusikan dari dua sumber yang jelas: WR I untuk acara/seminar/kegiatan dan pengembangan akademik-kemahasiswaan; WR II untuk konten, story/feed, expo, presentasi, PMB dan campus ambassador. Operator menghindari tugas tanpa owner.</w:t>
      </w:r>
    </w:p>
    <w:p>
      <w:pPr>
        <w:pStyle w:val="ListBullet"/>
      </w:pPr>
      <w:r>
        <w:t>Setiap tugas wajib menyebut: Task ID, owner (WR I/WR II), mahasiswa, PIC, brief, kriteria penerimaan, jadwal, tenggat, lokasi/peralatan, indikator hasil, dan bukti wajib.</w:t>
      </w:r>
    </w:p>
    <w:p>
      <w:pPr>
        <w:pStyle w:val="ListBullet"/>
      </w:pPr>
      <w:r>
        <w:t>Untuk tugas lintas jalur, hanya ada satu owner Task ID. Contoh: WR I menyelenggarakan seminar, WR II meminta materi dokumentasi/konten; penugasan videonya dapat menjadi Task ID terpisah di bawah WR II untuk menghindari klaim ganda. PIC wajib menyediakan akses, materi dan arahan.</w:t>
      </w:r>
    </w:p>
    <w:p>
      <w:pPr>
        <w:pStyle w:val="ListBullet"/>
      </w:pPr>
      <w:r>
        <w:t>Jika tugas dibatalkan atau belum disiapkan oleh kampus, catat DIBATALKAN KAMPUS / BELUM DITUGASKAN. Tidak boleh otomatis memberi nilai buruk kepada mahasiswa.</w:t>
      </w:r>
    </w:p>
    <w:p>
      <w:pPr>
        <w:pStyle w:val="ListBullet"/>
      </w:pPr>
      <w:r>
        <w:t>Untuk referral, bukan sekadar daftar nama: PMB, Keuangan, dan pejabat berwenang harus memverifikasi secara berlapis.</w:t>
      </w:r>
    </w:p>
    <w:p>
      <w:pPr>
        <w:pStyle w:val="Heading1"/>
        <w:spacing w:before="180" w:after="80"/>
      </w:pPr>
      <w:r>
        <w:t>6. Klasifikasi bukti minimum</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6324F"/>
          </w:tcPr>
          <w:p>
            <w:r>
              <w:rPr>
                <w:b/>
                <w:color w:val="FFFFFF"/>
                <w:sz w:val="16"/>
              </w:rPr>
              <w:t>Jenis tugas</w:t>
            </w:r>
          </w:p>
        </w:tc>
        <w:tc>
          <w:tcPr>
            <w:tcW w:type="dxa" w:w="3293"/>
            <w:shd w:fill="16324F"/>
          </w:tcPr>
          <w:p>
            <w:r>
              <w:rPr>
                <w:b/>
                <w:color w:val="FFFFFF"/>
                <w:sz w:val="16"/>
              </w:rPr>
              <w:t>Bukti wajib</w:t>
            </w:r>
          </w:p>
        </w:tc>
        <w:tc>
          <w:tcPr>
            <w:tcW w:type="dxa" w:w="3293"/>
            <w:shd w:fill="16324F"/>
          </w:tcPr>
          <w:p>
            <w:r>
              <w:rPr>
                <w:b/>
                <w:color w:val="FFFFFF"/>
                <w:sz w:val="16"/>
              </w:rPr>
              <w:t>Tanda terima</w:t>
            </w:r>
          </w:p>
        </w:tc>
      </w:tr>
      <w:tr>
        <w:trPr>
          <w:cantSplit/>
        </w:trPr>
        <w:tc>
          <w:tcPr>
            <w:tcW w:type="dxa" w:w="3293"/>
            <w:vAlign w:val="center"/>
          </w:tcPr>
          <w:p>
            <w:pPr>
              <w:spacing w:after="40"/>
            </w:pPr>
            <w:r>
              <w:rPr>
                <w:sz w:val="15"/>
              </w:rPr>
              <w:t>Video / konten</w:t>
            </w:r>
          </w:p>
        </w:tc>
        <w:tc>
          <w:tcPr>
            <w:tcW w:type="dxa" w:w="3293"/>
            <w:vAlign w:val="center"/>
          </w:tcPr>
          <w:p>
            <w:pPr>
              <w:spacing w:after="40"/>
            </w:pPr>
            <w:r>
              <w:rPr>
                <w:sz w:val="15"/>
              </w:rPr>
              <w:t>Brief, naskah/file asli, tautan final, tanggal kirim, komentar PIC.</w:t>
            </w:r>
          </w:p>
        </w:tc>
        <w:tc>
          <w:tcPr>
            <w:tcW w:type="dxa" w:w="3293"/>
            <w:vAlign w:val="center"/>
          </w:tcPr>
          <w:p>
            <w:r>
              <w:t>PIC konten dan WR II menerima/revisi.</w:t>
            </w:r>
          </w:p>
        </w:tc>
      </w:tr>
      <w:tr>
        <w:trPr>
          <w:cantSplit/>
        </w:trPr>
        <w:tc>
          <w:tcPr>
            <w:tcW w:type="dxa" w:w="3293"/>
            <w:vAlign w:val="center"/>
            <w:shd w:fill="F0F5F7"/>
          </w:tcPr>
          <w:p>
            <w:pPr>
              <w:spacing w:after="40"/>
            </w:pPr>
            <w:r>
              <w:rPr>
                <w:sz w:val="15"/>
              </w:rPr>
              <w:t>Expo / open house</w:t>
            </w:r>
          </w:p>
        </w:tc>
        <w:tc>
          <w:tcPr>
            <w:tcW w:type="dxa" w:w="3293"/>
            <w:vAlign w:val="center"/>
            <w:shd w:fill="F0F5F7"/>
          </w:tcPr>
          <w:p>
            <w:pPr>
              <w:spacing w:after="40"/>
            </w:pPr>
            <w:r>
              <w:rPr>
                <w:sz w:val="15"/>
              </w:rPr>
              <w:t>Surat jadwal, daftar tugas, dokumentasi sah, ringkasan interaksi, evaluasi PIC.</w:t>
            </w:r>
          </w:p>
        </w:tc>
        <w:tc>
          <w:tcPr>
            <w:tcW w:type="dxa" w:w="3293"/>
            <w:vAlign w:val="center"/>
            <w:shd w:fill="F0F5F7"/>
          </w:tcPr>
          <w:p>
            <w:r>
              <w:t>PIC marketing dan WR II memverifikasi.</w:t>
            </w:r>
          </w:p>
        </w:tc>
      </w:tr>
      <w:tr>
        <w:trPr>
          <w:cantSplit/>
        </w:trPr>
        <w:tc>
          <w:tcPr>
            <w:tcW w:type="dxa" w:w="3293"/>
            <w:vAlign w:val="center"/>
          </w:tcPr>
          <w:p>
            <w:pPr>
              <w:spacing w:after="40"/>
            </w:pPr>
            <w:r>
              <w:rPr>
                <w:sz w:val="15"/>
              </w:rPr>
              <w:t>Presentasi / campus ambassador</w:t>
            </w:r>
          </w:p>
        </w:tc>
        <w:tc>
          <w:tcPr>
            <w:tcW w:type="dxa" w:w="3293"/>
            <w:vAlign w:val="center"/>
          </w:tcPr>
          <w:p>
            <w:pPr>
              <w:spacing w:after="40"/>
            </w:pPr>
            <w:r>
              <w:rPr>
                <w:sz w:val="15"/>
              </w:rPr>
              <w:t>Materi, agenda, catatan kegiatan, umpan balik PIC.</w:t>
            </w:r>
          </w:p>
        </w:tc>
        <w:tc>
          <w:tcPr>
            <w:tcW w:type="dxa" w:w="3293"/>
            <w:vAlign w:val="center"/>
          </w:tcPr>
          <w:p>
            <w:r>
              <w:t>PIC marketing dan WR II memverifikasi.</w:t>
            </w:r>
          </w:p>
        </w:tc>
      </w:tr>
      <w:tr>
        <w:trPr>
          <w:cantSplit/>
        </w:trPr>
        <w:tc>
          <w:tcPr>
            <w:tcW w:type="dxa" w:w="3293"/>
            <w:vAlign w:val="center"/>
            <w:shd w:fill="F0F5F7"/>
          </w:tcPr>
          <w:p>
            <w:r>
              <w:t>Event mahasiswa / seminar / Imlek / workshop</w:t>
            </w:r>
          </w:p>
        </w:tc>
        <w:tc>
          <w:tcPr>
            <w:tcW w:type="dxa" w:w="3293"/>
            <w:vAlign w:val="center"/>
            <w:shd w:fill="F0F5F7"/>
          </w:tcPr>
          <w:p>
            <w:r>
              <w:t>Kalender WR I, event brief, rundown, pembagian peran, artefak tiap mahasiswa, dokumentasi, rekap peserta, laporan after-action.</w:t>
            </w:r>
          </w:p>
        </w:tc>
        <w:tc>
          <w:tcPr>
            <w:tcW w:type="dxa" w:w="3293"/>
            <w:vAlign w:val="center"/>
            <w:shd w:fill="F0F5F7"/>
          </w:tcPr>
          <w:p>
            <w:r>
              <w:t>PIC Event dan WR I memverifikasi.</w:t>
            </w:r>
          </w:p>
        </w:tc>
      </w:tr>
      <w:tr>
        <w:trPr>
          <w:cantSplit/>
        </w:trPr>
        <w:tc>
          <w:tcPr>
            <w:tcW w:type="dxa" w:w="3293"/>
            <w:vAlign w:val="center"/>
          </w:tcPr>
          <w:p>
            <w:pPr>
              <w:spacing w:after="40"/>
            </w:pPr>
            <w:r>
              <w:rPr>
                <w:sz w:val="15"/>
              </w:rPr>
              <w:t>Proyek teknologi / desain</w:t>
            </w:r>
          </w:p>
        </w:tc>
        <w:tc>
          <w:tcPr>
            <w:tcW w:type="dxa" w:w="3293"/>
            <w:vAlign w:val="center"/>
          </w:tcPr>
          <w:p>
            <w:pPr>
              <w:spacing w:after="40"/>
            </w:pPr>
            <w:r>
              <w:rPr>
                <w:sz w:val="15"/>
              </w:rPr>
              <w:t>File artefak / repositori / demo, spesifikasi, hasil uji, catatan penerimaan.</w:t>
            </w:r>
          </w:p>
        </w:tc>
        <w:tc>
          <w:tcPr>
            <w:tcW w:type="dxa" w:w="3293"/>
            <w:vAlign w:val="center"/>
          </w:tcPr>
          <w:p>
            <w:pPr>
              <w:spacing w:after="40"/>
            </w:pPr>
            <w:r>
              <w:rPr>
                <w:sz w:val="15"/>
              </w:rPr>
              <w:t>PIC teknis memverifikasi.</w:t>
            </w:r>
          </w:p>
        </w:tc>
      </w:tr>
      <w:tr>
        <w:trPr>
          <w:cantSplit/>
        </w:trPr>
        <w:tc>
          <w:tcPr>
            <w:tcW w:type="dxa" w:w="3293"/>
            <w:vAlign w:val="center"/>
            <w:shd w:fill="F0F5F7"/>
          </w:tcPr>
          <w:p>
            <w:pPr>
              <w:spacing w:after="40"/>
            </w:pPr>
            <w:r>
              <w:rPr>
                <w:sz w:val="15"/>
              </w:rPr>
              <w:t>Charity / sosial</w:t>
            </w:r>
          </w:p>
        </w:tc>
        <w:tc>
          <w:tcPr>
            <w:tcW w:type="dxa" w:w="3293"/>
            <w:vAlign w:val="center"/>
            <w:shd w:fill="F0F5F7"/>
          </w:tcPr>
          <w:p>
            <w:pPr>
              <w:spacing w:after="40"/>
            </w:pPr>
            <w:r>
              <w:rPr>
                <w:sz w:val="15"/>
              </w:rPr>
              <w:t>Tujuan, peran, lokasi, output, dokumentasi izin, refleksi.</w:t>
            </w:r>
          </w:p>
        </w:tc>
        <w:tc>
          <w:tcPr>
            <w:tcW w:type="dxa" w:w="3293"/>
            <w:vAlign w:val="center"/>
            <w:shd w:fill="F0F5F7"/>
          </w:tcPr>
          <w:p>
            <w:r>
              <w:t>PIC sosial dan WR I memverifikasi; bukan satu-satunya kategori program.</w:t>
            </w:r>
          </w:p>
        </w:tc>
      </w:tr>
      <w:tr>
        <w:trPr>
          <w:cantSplit/>
        </w:trPr>
        <w:tc>
          <w:tcPr>
            <w:tcW w:type="dxa" w:w="3293"/>
            <w:vAlign w:val="center"/>
          </w:tcPr>
          <w:p>
            <w:pPr>
              <w:spacing w:after="40"/>
            </w:pPr>
            <w:r>
              <w:rPr>
                <w:sz w:val="15"/>
              </w:rPr>
              <w:t>Referensi mahasiswa baru</w:t>
            </w:r>
          </w:p>
        </w:tc>
        <w:tc>
          <w:tcPr>
            <w:tcW w:type="dxa" w:w="3293"/>
            <w:vAlign w:val="center"/>
          </w:tcPr>
          <w:p>
            <w:pPr>
              <w:spacing w:after="40"/>
            </w:pPr>
            <w:r>
              <w:rPr>
                <w:sz w:val="15"/>
              </w:rPr>
              <w:t>ID PMB, identitas sumber referensi sesuai kebijakan privasi, daftar ulang, bukti verifikasi keuangan, keputusan WR II.</w:t>
            </w:r>
          </w:p>
        </w:tc>
        <w:tc>
          <w:tcPr>
            <w:tcW w:type="dxa" w:w="3293"/>
            <w:vAlign w:val="center"/>
          </w:tcPr>
          <w:p>
            <w:pPr>
              <w:spacing w:after="40"/>
            </w:pPr>
            <w:r>
              <w:rPr>
                <w:sz w:val="15"/>
              </w:rPr>
              <w:t>PMB + Keuangan + WR II.</w:t>
            </w:r>
          </w:p>
        </w:tc>
      </w:tr>
    </w:tbl>
    <w:p/>
    <w:p>
      <w:pPr>
        <w:pStyle w:val="Heading1"/>
        <w:spacing w:before="180" w:after="80"/>
      </w:pPr>
      <w:r>
        <w:t>7. Status pekerjaan dan aturan penerimaan</w:t>
      </w:r>
    </w:p>
    <w:tbl>
      <w:tblPr>
        <w:tblStyle w:val="TableGrid"/>
        <w:tblW w:type="auto" w:w="0"/>
        <w:jc w:val="center"/>
        <w:tblLook w:firstColumn="1" w:firstRow="1" w:lastColumn="0" w:lastRow="0" w:noHBand="0" w:noVBand="1" w:val="04A0"/>
      </w:tblPr>
      <w:tblGrid>
        <w:gridCol w:w="4939"/>
        <w:gridCol w:w="4939"/>
      </w:tblGrid>
      <w:tr>
        <w:trPr>
          <w:cantSplit/>
        </w:trPr>
        <w:tc>
          <w:tcPr>
            <w:tcW w:type="dxa" w:w="4939"/>
            <w:shd w:fill="16324F"/>
          </w:tcPr>
          <w:p>
            <w:r>
              <w:rPr>
                <w:b/>
                <w:color w:val="FFFFFF"/>
                <w:sz w:val="16"/>
              </w:rPr>
              <w:t>Status</w:t>
            </w:r>
          </w:p>
        </w:tc>
        <w:tc>
          <w:tcPr>
            <w:tcW w:type="dxa" w:w="4939"/>
            <w:shd w:fill="16324F"/>
          </w:tcPr>
          <w:p>
            <w:r>
              <w:rPr>
                <w:b/>
                <w:color w:val="FFFFFF"/>
                <w:sz w:val="16"/>
              </w:rPr>
              <w:t>Makna / tindakan</w:t>
            </w:r>
          </w:p>
        </w:tc>
      </w:tr>
      <w:tr>
        <w:trPr>
          <w:cantSplit/>
        </w:trPr>
        <w:tc>
          <w:tcPr>
            <w:tcW w:type="dxa" w:w="4939"/>
            <w:vAlign w:val="center"/>
          </w:tcPr>
          <w:p>
            <w:pPr>
              <w:spacing w:after="40"/>
            </w:pPr>
            <w:r>
              <w:rPr>
                <w:sz w:val="15"/>
              </w:rPr>
              <w:t>Ditugaskan</w:t>
            </w:r>
          </w:p>
        </w:tc>
        <w:tc>
          <w:tcPr>
            <w:tcW w:type="dxa" w:w="4939"/>
            <w:vAlign w:val="center"/>
          </w:tcPr>
          <w:p>
            <w:pPr>
              <w:spacing w:after="40"/>
            </w:pPr>
            <w:r>
              <w:rPr>
                <w:sz w:val="15"/>
              </w:rPr>
              <w:t>Brief diterima dan mahasiswa memiliki tugas yang bisa dikerjakan.</w:t>
            </w:r>
          </w:p>
        </w:tc>
      </w:tr>
      <w:tr>
        <w:trPr>
          <w:cantSplit/>
        </w:trPr>
        <w:tc>
          <w:tcPr>
            <w:tcW w:type="dxa" w:w="4939"/>
            <w:vAlign w:val="center"/>
            <w:shd w:fill="F0F5F7"/>
          </w:tcPr>
          <w:p>
            <w:pPr>
              <w:spacing w:after="40"/>
            </w:pPr>
            <w:r>
              <w:rPr>
                <w:sz w:val="15"/>
              </w:rPr>
              <w:t>Dalam Proses</w:t>
            </w:r>
          </w:p>
        </w:tc>
        <w:tc>
          <w:tcPr>
            <w:tcW w:type="dxa" w:w="4939"/>
            <w:vAlign w:val="center"/>
            <w:shd w:fill="F0F5F7"/>
          </w:tcPr>
          <w:p>
            <w:pPr>
              <w:spacing w:after="40"/>
            </w:pPr>
            <w:r>
              <w:rPr>
                <w:sz w:val="15"/>
              </w:rPr>
              <w:t>Mahasiswa sedang melaksanakan; belum ada hasil final.</w:t>
            </w:r>
          </w:p>
        </w:tc>
      </w:tr>
      <w:tr>
        <w:trPr>
          <w:cantSplit/>
        </w:trPr>
        <w:tc>
          <w:tcPr>
            <w:tcW w:type="dxa" w:w="4939"/>
            <w:vAlign w:val="center"/>
          </w:tcPr>
          <w:p>
            <w:pPr>
              <w:spacing w:after="40"/>
            </w:pPr>
            <w:r>
              <w:rPr>
                <w:sz w:val="15"/>
              </w:rPr>
              <w:t>Diajukan</w:t>
            </w:r>
          </w:p>
        </w:tc>
        <w:tc>
          <w:tcPr>
            <w:tcW w:type="dxa" w:w="4939"/>
            <w:vAlign w:val="center"/>
          </w:tcPr>
          <w:p>
            <w:pPr>
              <w:spacing w:after="40"/>
            </w:pPr>
            <w:r>
              <w:rPr>
                <w:sz w:val="15"/>
              </w:rPr>
              <w:t>Bukti sudah diunggah; menunggu verifikasi PIC.</w:t>
            </w:r>
          </w:p>
        </w:tc>
      </w:tr>
      <w:tr>
        <w:trPr>
          <w:cantSplit/>
        </w:trPr>
        <w:tc>
          <w:tcPr>
            <w:tcW w:type="dxa" w:w="4939"/>
            <w:vAlign w:val="center"/>
            <w:shd w:fill="F0F5F7"/>
          </w:tcPr>
          <w:p>
            <w:pPr>
              <w:spacing w:after="40"/>
            </w:pPr>
            <w:r>
              <w:rPr>
                <w:sz w:val="15"/>
              </w:rPr>
              <w:t>Perlu Revisi</w:t>
            </w:r>
          </w:p>
        </w:tc>
        <w:tc>
          <w:tcPr>
            <w:tcW w:type="dxa" w:w="4939"/>
            <w:vAlign w:val="center"/>
            <w:shd w:fill="F0F5F7"/>
          </w:tcPr>
          <w:p>
            <w:pPr>
              <w:spacing w:after="40"/>
            </w:pPr>
            <w:r>
              <w:rPr>
                <w:sz w:val="15"/>
              </w:rPr>
              <w:t>Output belum memenuhi brief; PIC memberikan daftar revisi dan tenggat wajar.</w:t>
            </w:r>
          </w:p>
        </w:tc>
      </w:tr>
      <w:tr>
        <w:trPr>
          <w:cantSplit/>
        </w:trPr>
        <w:tc>
          <w:tcPr>
            <w:tcW w:type="dxa" w:w="4939"/>
            <w:vAlign w:val="center"/>
          </w:tcPr>
          <w:p>
            <w:pPr>
              <w:spacing w:after="40"/>
            </w:pPr>
            <w:r>
              <w:rPr>
                <w:sz w:val="15"/>
              </w:rPr>
              <w:t>Diterima</w:t>
            </w:r>
          </w:p>
        </w:tc>
        <w:tc>
          <w:tcPr>
            <w:tcW w:type="dxa" w:w="4939"/>
            <w:vAlign w:val="center"/>
          </w:tcPr>
          <w:p>
            <w:pPr>
              <w:spacing w:after="40"/>
            </w:pPr>
            <w:r>
              <w:rPr>
                <w:sz w:val="15"/>
              </w:rPr>
              <w:t>PIC sudah memverifikasi bukti, hasil memenuhi kriteria. Baru boleh diakui dalam nilai output.</w:t>
            </w:r>
          </w:p>
        </w:tc>
      </w:tr>
      <w:tr>
        <w:trPr>
          <w:cantSplit/>
        </w:trPr>
        <w:tc>
          <w:tcPr>
            <w:tcW w:type="dxa" w:w="4939"/>
            <w:vAlign w:val="center"/>
            <w:shd w:fill="F0F5F7"/>
          </w:tcPr>
          <w:p>
            <w:pPr>
              <w:spacing w:after="40"/>
            </w:pPr>
            <w:r>
              <w:rPr>
                <w:sz w:val="15"/>
              </w:rPr>
              <w:t>Ditunda Sah</w:t>
            </w:r>
          </w:p>
        </w:tc>
        <w:tc>
          <w:tcPr>
            <w:tcW w:type="dxa" w:w="4939"/>
            <w:vAlign w:val="center"/>
            <w:shd w:fill="F0F5F7"/>
          </w:tcPr>
          <w:p>
            <w:pPr>
              <w:spacing w:after="40"/>
            </w:pPr>
            <w:r>
              <w:rPr>
                <w:sz w:val="15"/>
              </w:rPr>
              <w:t>Alasan sah atau penyesuaian jadwal disetujui; bukan gagal.</w:t>
            </w:r>
          </w:p>
        </w:tc>
      </w:tr>
      <w:tr>
        <w:trPr>
          <w:cantSplit/>
        </w:trPr>
        <w:tc>
          <w:tcPr>
            <w:tcW w:type="dxa" w:w="4939"/>
            <w:vAlign w:val="center"/>
          </w:tcPr>
          <w:p>
            <w:pPr>
              <w:spacing w:after="40"/>
            </w:pPr>
            <w:r>
              <w:rPr>
                <w:sz w:val="15"/>
              </w:rPr>
              <w:t>Dibatalkan Kampus</w:t>
            </w:r>
          </w:p>
        </w:tc>
        <w:tc>
          <w:tcPr>
            <w:tcW w:type="dxa" w:w="4939"/>
            <w:vAlign w:val="center"/>
          </w:tcPr>
          <w:p>
            <w:pPr>
              <w:spacing w:after="40"/>
            </w:pPr>
            <w:r>
              <w:rPr>
                <w:sz w:val="15"/>
              </w:rPr>
              <w:t>Tugas tidak berjalan karena keputusan atau kelalaian kampus; bukan gagal.</w:t>
            </w:r>
          </w:p>
        </w:tc>
      </w:tr>
    </w:tbl>
    <w:p/>
    <w:p>
      <w:pPr>
        <w:spacing w:after="80"/>
      </w:pPr>
      <w:r>
        <w:t>Bukti tidak boleh berubah status menjadi Diterima apabila link/file tidak ada atau PIC belum menilai. Bila pekerjaan tidak selesai tanpa alasan yang sah setelah pembinaan dan tenggat, PIC menyimpan catatan faktual untuk evaluasi, tanpa mengubahnya menjadi nilai 0 otomatis karena status belum diverifikasi.</w:t>
      </w:r>
    </w:p>
    <w:p>
      <w:pPr>
        <w:pStyle w:val="Heading1"/>
        <w:spacing w:before="180" w:after="80"/>
      </w:pPr>
      <w:r>
        <w:t>8. Rubrik mingguan per Task ID (nilai 0–100)</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6324F"/>
          </w:tcPr>
          <w:p>
            <w:r>
              <w:rPr>
                <w:b/>
                <w:color w:val="FFFFFF"/>
                <w:sz w:val="16"/>
              </w:rPr>
              <w:t>Dimensi</w:t>
            </w:r>
          </w:p>
        </w:tc>
        <w:tc>
          <w:tcPr>
            <w:tcW w:type="dxa" w:w="3293"/>
            <w:shd w:fill="16324F"/>
          </w:tcPr>
          <w:p>
            <w:r>
              <w:rPr>
                <w:b/>
                <w:color w:val="FFFFFF"/>
                <w:sz w:val="16"/>
              </w:rPr>
              <w:t>Bobot</w:t>
            </w:r>
          </w:p>
        </w:tc>
        <w:tc>
          <w:tcPr>
            <w:tcW w:type="dxa" w:w="3293"/>
            <w:shd w:fill="16324F"/>
          </w:tcPr>
          <w:p>
            <w:r>
              <w:rPr>
                <w:b/>
                <w:color w:val="FFFFFF"/>
                <w:sz w:val="16"/>
              </w:rPr>
              <w:t>Definisi nilai maksimum (5/5)</w:t>
            </w:r>
          </w:p>
        </w:tc>
      </w:tr>
      <w:tr>
        <w:trPr>
          <w:cantSplit/>
        </w:trPr>
        <w:tc>
          <w:tcPr>
            <w:tcW w:type="dxa" w:w="3293"/>
            <w:vAlign w:val="center"/>
          </w:tcPr>
          <w:p>
            <w:pPr>
              <w:spacing w:after="40"/>
            </w:pPr>
            <w:r>
              <w:rPr>
                <w:sz w:val="15"/>
              </w:rPr>
              <w:t>Kualitas output</w:t>
            </w:r>
          </w:p>
        </w:tc>
        <w:tc>
          <w:tcPr>
            <w:tcW w:type="dxa" w:w="3293"/>
            <w:vAlign w:val="center"/>
          </w:tcPr>
          <w:p>
            <w:pPr>
              <w:spacing w:after="40"/>
            </w:pPr>
            <w:r>
              <w:rPr>
                <w:sz w:val="15"/>
              </w:rPr>
              <w:t>40%</w:t>
            </w:r>
          </w:p>
        </w:tc>
        <w:tc>
          <w:tcPr>
            <w:tcW w:type="dxa" w:w="3293"/>
            <w:vAlign w:val="center"/>
          </w:tcPr>
          <w:p>
            <w:pPr>
              <w:spacing w:after="40"/>
            </w:pPr>
            <w:r>
              <w:rPr>
                <w:sz w:val="15"/>
              </w:rPr>
              <w:t>Hasil akurat, sesuai brief, siap dipakai/ditinjau secara profesional.</w:t>
            </w:r>
          </w:p>
        </w:tc>
      </w:tr>
      <w:tr>
        <w:trPr>
          <w:cantSplit/>
        </w:trPr>
        <w:tc>
          <w:tcPr>
            <w:tcW w:type="dxa" w:w="3293"/>
            <w:vAlign w:val="center"/>
            <w:shd w:fill="F0F5F7"/>
          </w:tcPr>
          <w:p>
            <w:pPr>
              <w:spacing w:after="40"/>
            </w:pPr>
            <w:r>
              <w:rPr>
                <w:sz w:val="15"/>
              </w:rPr>
              <w:t>Pencapaian target</w:t>
            </w:r>
          </w:p>
        </w:tc>
        <w:tc>
          <w:tcPr>
            <w:tcW w:type="dxa" w:w="3293"/>
            <w:vAlign w:val="center"/>
            <w:shd w:fill="F0F5F7"/>
          </w:tcPr>
          <w:p>
            <w:pPr>
              <w:spacing w:after="40"/>
            </w:pPr>
            <w:r>
              <w:rPr>
                <w:sz w:val="15"/>
              </w:rPr>
              <w:t>25%</w:t>
            </w:r>
          </w:p>
        </w:tc>
        <w:tc>
          <w:tcPr>
            <w:tcW w:type="dxa" w:w="3293"/>
            <w:vAlign w:val="center"/>
            <w:shd w:fill="F0F5F7"/>
          </w:tcPr>
          <w:p>
            <w:pPr>
              <w:spacing w:after="40"/>
            </w:pPr>
            <w:r>
              <w:rPr>
                <w:sz w:val="15"/>
              </w:rPr>
              <w:t>Seluruh deliverable dan tujuan penugasan dipenuhi.</w:t>
            </w:r>
          </w:p>
        </w:tc>
      </w:tr>
      <w:tr>
        <w:trPr>
          <w:cantSplit/>
        </w:trPr>
        <w:tc>
          <w:tcPr>
            <w:tcW w:type="dxa" w:w="3293"/>
            <w:vAlign w:val="center"/>
          </w:tcPr>
          <w:p>
            <w:pPr>
              <w:spacing w:after="40"/>
            </w:pPr>
            <w:r>
              <w:rPr>
                <w:sz w:val="15"/>
              </w:rPr>
              <w:t>Ketepatan waktu &amp; tanggung jawab</w:t>
            </w:r>
          </w:p>
        </w:tc>
        <w:tc>
          <w:tcPr>
            <w:tcW w:type="dxa" w:w="3293"/>
            <w:vAlign w:val="center"/>
          </w:tcPr>
          <w:p>
            <w:pPr>
              <w:spacing w:after="40"/>
            </w:pPr>
            <w:r>
              <w:rPr>
                <w:sz w:val="15"/>
              </w:rPr>
              <w:t>15%</w:t>
            </w:r>
          </w:p>
        </w:tc>
        <w:tc>
          <w:tcPr>
            <w:tcW w:type="dxa" w:w="3293"/>
            <w:vAlign w:val="center"/>
          </w:tcPr>
          <w:p>
            <w:pPr>
              <w:spacing w:after="40"/>
            </w:pPr>
            <w:r>
              <w:rPr>
                <w:sz w:val="15"/>
              </w:rPr>
              <w:t>Tugas dikelola tepat waktu, komunikasi kendala sejak dini.</w:t>
            </w:r>
          </w:p>
        </w:tc>
      </w:tr>
      <w:tr>
        <w:trPr>
          <w:cantSplit/>
        </w:trPr>
        <w:tc>
          <w:tcPr>
            <w:tcW w:type="dxa" w:w="3293"/>
            <w:vAlign w:val="center"/>
            <w:shd w:fill="F0F5F7"/>
          </w:tcPr>
          <w:p>
            <w:pPr>
              <w:spacing w:after="40"/>
            </w:pPr>
            <w:r>
              <w:rPr>
                <w:sz w:val="15"/>
              </w:rPr>
              <w:t>Inisiatif / pemecahan masalah</w:t>
            </w:r>
          </w:p>
        </w:tc>
        <w:tc>
          <w:tcPr>
            <w:tcW w:type="dxa" w:w="3293"/>
            <w:vAlign w:val="center"/>
            <w:shd w:fill="F0F5F7"/>
          </w:tcPr>
          <w:p>
            <w:pPr>
              <w:spacing w:after="40"/>
            </w:pPr>
            <w:r>
              <w:rPr>
                <w:sz w:val="15"/>
              </w:rPr>
              <w:t>10%</w:t>
            </w:r>
          </w:p>
        </w:tc>
        <w:tc>
          <w:tcPr>
            <w:tcW w:type="dxa" w:w="3293"/>
            <w:vAlign w:val="center"/>
            <w:shd w:fill="F0F5F7"/>
          </w:tcPr>
          <w:p>
            <w:pPr>
              <w:spacing w:after="40"/>
            </w:pPr>
            <w:r>
              <w:rPr>
                <w:sz w:val="15"/>
              </w:rPr>
              <w:t>Usulan perbaikan relevan dan dijalankan sesuai kewenangan.</w:t>
            </w:r>
          </w:p>
        </w:tc>
      </w:tr>
      <w:tr>
        <w:trPr>
          <w:cantSplit/>
        </w:trPr>
        <w:tc>
          <w:tcPr>
            <w:tcW w:type="dxa" w:w="3293"/>
            <w:vAlign w:val="center"/>
          </w:tcPr>
          <w:p>
            <w:pPr>
              <w:spacing w:after="40"/>
            </w:pPr>
            <w:r>
              <w:rPr>
                <w:sz w:val="15"/>
              </w:rPr>
              <w:t>Kerja sama / etika</w:t>
            </w:r>
          </w:p>
        </w:tc>
        <w:tc>
          <w:tcPr>
            <w:tcW w:type="dxa" w:w="3293"/>
            <w:vAlign w:val="center"/>
          </w:tcPr>
          <w:p>
            <w:pPr>
              <w:spacing w:after="40"/>
            </w:pPr>
            <w:r>
              <w:rPr>
                <w:sz w:val="15"/>
              </w:rPr>
              <w:t>10%</w:t>
            </w:r>
          </w:p>
        </w:tc>
        <w:tc>
          <w:tcPr>
            <w:tcW w:type="dxa" w:w="3293"/>
            <w:vAlign w:val="center"/>
          </w:tcPr>
          <w:p>
            <w:pPr>
              <w:spacing w:after="40"/>
            </w:pPr>
            <w:r>
              <w:rPr>
                <w:sz w:val="15"/>
              </w:rPr>
              <w:t>Kooperatif, menghormati pihak lain, menjaga keamanan dan integritas.</w:t>
            </w:r>
          </w:p>
        </w:tc>
      </w:tr>
    </w:tbl>
    <w:p/>
    <w:p>
      <w:pPr>
        <w:spacing w:after="80"/>
      </w:pPr>
      <w:r>
        <w:t>Masing-masing dimensi diberi 0–5 (0 tidak terbukti; 1 sangat kurang; 2 kurang; 3 cukup; 4 baik; 5 sangat baik). Skor = 8×Kualitas + 5×Target + 3×Ketepatan + 2×Inisiatif + 2×Kerja sama. Skor total hanya menjadi NILAI FINAL jika status Diterima dan bukti lengkap. Perlu Revisi = skor sementara/pembinaan, bukan nilai hasil final.</w:t>
      </w:r>
    </w:p>
    <w:p>
      <w:pPr>
        <w:pStyle w:val="Heading1"/>
        <w:spacing w:before="180" w:after="80"/>
      </w:pPr>
      <w:r>
        <w:t>9. Evaluasi bulanan dan tahunan</w:t>
      </w:r>
    </w:p>
    <w:p>
      <w:pPr>
        <w:spacing w:after="80"/>
      </w:pPr>
      <w:r>
        <w:t>Laporan bulanan dipisahkan berdasarkan owner WR I dan WR II serta mencantumkan: (i) kalender kegiatan terlaksana/tidak, (ii) kampanye/konten selesai, (iii) kewajiban sesi rutin, (iv) task ditugaskan/diterima/revisi/terlambat, (v) dispensasi sah, (vi) pembebasan Sabtu, (vii) referral terverifikasi, dan (viii) penyebab keterlambatan dari mahasiswa atau kampus. Pembanding antar mahasiswa memperhatikan kesempatan tugas yang proporsional.</w:t>
      </w:r>
    </w:p>
    <w:p>
      <w:pPr>
        <w:spacing w:after="80"/>
      </w:pPr>
      <w:r>
        <w:t>Untuk perpanjangan tahunan: kontribusi nyata 60%, akademik 25%, dan karakter/disiplin 15% mengikuti SK. Nilai mingguan bukan otomatis komponen kontribusi tahunan. WR I menilai portofolio event dan keterkaitan akademik/karakter; WR II menilai portofolio marketing/PMB; keduanya menyampaikan verifikasi bersama tanpa menggantikan kewenangan keputusan Rektor. Referral terverifikasi bernilai signifikan tetapi tidak otomatis menjamin perpanjangan.</w:t>
      </w:r>
    </w:p>
    <w:p>
      <w:pPr>
        <w:pStyle w:val="Heading1"/>
        <w:spacing w:before="180" w:after="80"/>
      </w:pPr>
      <w:r>
        <w:t>9A. KPI pengawasan WR I dan WR II (evaluasi kinerja program)</w:t>
      </w:r>
    </w:p>
    <w:tbl>
      <w:tblPr>
        <w:tblStyle w:val="TableGrid"/>
        <w:tblW w:type="auto" w:w="0"/>
        <w:tblLayout w:type="fixed"/>
        <w:tblLook w:firstColumn="1" w:firstRow="1" w:lastColumn="0" w:lastRow="0" w:noHBand="0" w:noVBand="1" w:val="04A0"/>
      </w:tblPr>
      <w:tblGrid>
        <w:gridCol w:w="3293"/>
        <w:gridCol w:w="3293"/>
        <w:gridCol w:w="3293"/>
      </w:tblGrid>
      <w:tr>
        <w:trPr>
          <w:cantSplit/>
        </w:trPr>
        <w:tc>
          <w:tcPr>
            <w:tcW w:type="dxa" w:w="1944"/>
            <w:vAlign w:val="center"/>
          </w:tcPr>
          <w:p>
            <w:pPr>
              <w:spacing w:after="40"/>
            </w:pPr>
            <w:r>
              <w:rPr>
                <w:sz w:val="15"/>
              </w:rPr>
              <w:t>Ukuran</w:t>
            </w:r>
          </w:p>
        </w:tc>
        <w:tc>
          <w:tcPr>
            <w:tcW w:type="dxa" w:w="3888"/>
            <w:vAlign w:val="center"/>
          </w:tcPr>
          <w:p>
            <w:pPr>
              <w:spacing w:after="40"/>
            </w:pPr>
            <w:r>
              <w:rPr>
                <w:sz w:val="15"/>
              </w:rPr>
              <w:t>WR I: kegiatan mahasiswa</w:t>
            </w:r>
          </w:p>
        </w:tc>
        <w:tc>
          <w:tcPr>
            <w:tcW w:type="dxa" w:w="3960"/>
            <w:vAlign w:val="center"/>
          </w:tcPr>
          <w:p>
            <w:pPr>
              <w:spacing w:after="40"/>
            </w:pPr>
            <w:r>
              <w:rPr>
                <w:sz w:val="15"/>
              </w:rPr>
              <w:t>WR II: marketing &amp; PMB</w:t>
            </w:r>
          </w:p>
        </w:tc>
      </w:tr>
      <w:tr>
        <w:trPr>
          <w:cantSplit/>
        </w:trPr>
        <w:tc>
          <w:tcPr>
            <w:tcW w:type="dxa" w:w="1944"/>
            <w:vAlign w:val="center"/>
          </w:tcPr>
          <w:p>
            <w:pPr>
              <w:spacing w:after="40"/>
            </w:pPr>
            <w:r>
              <w:rPr>
                <w:sz w:val="15"/>
              </w:rPr>
              <w:t>Perencanaan</w:t>
            </w:r>
          </w:p>
        </w:tc>
        <w:tc>
          <w:tcPr>
            <w:tcW w:type="dxa" w:w="3888"/>
            <w:vAlign w:val="center"/>
          </w:tcPr>
          <w:p>
            <w:pPr>
              <w:spacing w:after="40"/>
            </w:pPr>
            <w:r>
              <w:rPr>
                <w:sz w:val="15"/>
              </w:rPr>
              <w:t>Kalender semester diterbitkan &amp; diperbarui tiap bulan.</w:t>
            </w:r>
          </w:p>
        </w:tc>
        <w:tc>
          <w:tcPr>
            <w:tcW w:type="dxa" w:w="3960"/>
            <w:vAlign w:val="center"/>
          </w:tcPr>
          <w:p>
            <w:pPr>
              <w:spacing w:after="40"/>
            </w:pPr>
            <w:r>
              <w:rPr>
                <w:sz w:val="15"/>
              </w:rPr>
              <w:t>Kalender kampanye bulanan dan brief mingguan tersedia.</w:t>
            </w:r>
          </w:p>
        </w:tc>
      </w:tr>
      <w:tr>
        <w:trPr>
          <w:cantSplit/>
        </w:trPr>
        <w:tc>
          <w:tcPr>
            <w:tcW w:type="dxa" w:w="1944"/>
            <w:vAlign w:val="center"/>
          </w:tcPr>
          <w:p>
            <w:pPr>
              <w:spacing w:after="40"/>
            </w:pPr>
            <w:r>
              <w:rPr>
                <w:sz w:val="15"/>
              </w:rPr>
              <w:t>Keluaran program</w:t>
            </w:r>
          </w:p>
        </w:tc>
        <w:tc>
          <w:tcPr>
            <w:tcW w:type="dxa" w:w="3888"/>
            <w:vAlign w:val="center"/>
          </w:tcPr>
          <w:p>
            <w:pPr>
              <w:spacing w:after="40"/>
            </w:pPr>
            <w:r>
              <w:rPr>
                <w:sz w:val="15"/>
              </w:rPr>
              <w:t>≥1 kegiatan terprogram/bulan aktif; ≥1 flagship/semester (usulan standar).</w:t>
            </w:r>
          </w:p>
        </w:tc>
        <w:tc>
          <w:tcPr>
            <w:tcW w:type="dxa" w:w="3960"/>
            <w:vAlign w:val="center"/>
          </w:tcPr>
          <w:p>
            <w:pPr>
              <w:spacing w:after="40"/>
            </w:pPr>
            <w:r>
              <w:rPr>
                <w:sz w:val="15"/>
              </w:rPr>
              <w:t>≥1 kampanye/proyek aktif/bulan; hasil konten, expo, presentasi berstatus final.</w:t>
            </w:r>
          </w:p>
        </w:tc>
      </w:tr>
      <w:tr>
        <w:trPr>
          <w:cantSplit/>
        </w:trPr>
        <w:tc>
          <w:tcPr>
            <w:tcW w:type="dxa" w:w="1944"/>
            <w:vAlign w:val="center"/>
          </w:tcPr>
          <w:p>
            <w:pPr>
              <w:spacing w:after="40"/>
            </w:pPr>
            <w:r>
              <w:rPr>
                <w:sz w:val="15"/>
              </w:rPr>
              <w:t>Kualitas bukti</w:t>
            </w:r>
          </w:p>
        </w:tc>
        <w:tc>
          <w:tcPr>
            <w:tcW w:type="dxa" w:w="3888"/>
            <w:vAlign w:val="center"/>
          </w:tcPr>
          <w:p>
            <w:pPr>
              <w:spacing w:after="40"/>
            </w:pPr>
            <w:r>
              <w:rPr>
                <w:sz w:val="15"/>
              </w:rPr>
              <w:t>100% event memiliki proposal/rundown, tugas personal dan after-action report.</w:t>
            </w:r>
          </w:p>
        </w:tc>
        <w:tc>
          <w:tcPr>
            <w:tcW w:type="dxa" w:w="3960"/>
            <w:vAlign w:val="center"/>
          </w:tcPr>
          <w:p>
            <w:pPr>
              <w:spacing w:after="40"/>
            </w:pPr>
            <w:r>
              <w:rPr>
                <w:sz w:val="15"/>
              </w:rPr>
              <w:t>100% output final memiliki brief, tautan bukti, status QC, dan persetujuan yang diperlukan.</w:t>
            </w:r>
          </w:p>
        </w:tc>
      </w:tr>
      <w:tr>
        <w:trPr>
          <w:cantSplit/>
        </w:trPr>
        <w:tc>
          <w:tcPr>
            <w:tcW w:type="dxa" w:w="1944"/>
            <w:vAlign w:val="center"/>
          </w:tcPr>
          <w:p>
            <w:pPr>
              <w:spacing w:after="40"/>
            </w:pPr>
            <w:r>
              <w:rPr>
                <w:sz w:val="15"/>
              </w:rPr>
              <w:t>Ketepatan pengawasan</w:t>
            </w:r>
          </w:p>
        </w:tc>
        <w:tc>
          <w:tcPr>
            <w:tcW w:type="dxa" w:w="3888"/>
            <w:vAlign w:val="center"/>
          </w:tcPr>
          <w:p>
            <w:pPr>
              <w:spacing w:after="40"/>
            </w:pPr>
            <w:r>
              <w:rPr>
                <w:sz w:val="15"/>
              </w:rPr>
              <w:t>Laporan event ≤5 hari kerja; rekap bulanan ke Rektor.</w:t>
            </w:r>
          </w:p>
        </w:tc>
        <w:tc>
          <w:tcPr>
            <w:tcW w:type="dxa" w:w="3960"/>
            <w:vAlign w:val="center"/>
          </w:tcPr>
          <w:p>
            <w:pPr>
              <w:spacing w:after="40"/>
            </w:pPr>
            <w:r>
              <w:rPr>
                <w:sz w:val="15"/>
              </w:rPr>
              <w:t>Bukti tugas diperiksa ≤3 hari kerja; rekap konten/referral bulanan.</w:t>
            </w:r>
          </w:p>
        </w:tc>
      </w:tr>
      <w:tr>
        <w:trPr>
          <w:cantSplit/>
        </w:trPr>
        <w:tc>
          <w:tcPr>
            <w:tcW w:type="dxa" w:w="1944"/>
            <w:vAlign w:val="center"/>
          </w:tcPr>
          <w:p>
            <w:pPr>
              <w:spacing w:after="40"/>
            </w:pPr>
            <w:r>
              <w:rPr>
                <w:sz w:val="15"/>
              </w:rPr>
              <w:t>Saat tidak berjalan</w:t>
            </w:r>
          </w:p>
        </w:tc>
        <w:tc>
          <w:tcPr>
            <w:tcW w:type="dxa" w:w="3888"/>
            <w:vAlign w:val="center"/>
          </w:tcPr>
          <w:p>
            <w:pPr>
              <w:spacing w:after="40"/>
            </w:pPr>
            <w:r>
              <w:rPr>
                <w:sz w:val="15"/>
              </w:rPr>
              <w:t>Alasan serta rencana pemulihan ditulis; eskalasi Rektor.</w:t>
            </w:r>
          </w:p>
        </w:tc>
        <w:tc>
          <w:tcPr>
            <w:tcW w:type="dxa" w:w="3960"/>
            <w:vAlign w:val="center"/>
          </w:tcPr>
          <w:p>
            <w:pPr>
              <w:spacing w:after="40"/>
            </w:pPr>
            <w:r>
              <w:rPr>
                <w:sz w:val="15"/>
              </w:rPr>
              <w:t>Alasan serta rencana pemulihan ditulis; eskalasi Rektor.</w:t>
            </w:r>
          </w:p>
        </w:tc>
      </w:tr>
    </w:tbl>
    <w:p>
      <w:pPr>
        <w:spacing w:after="80"/>
      </w:pPr>
      <w:r>
        <w:t>KPI ini mengukur akuntabilitas WR I/WR II, BUKAN target otomatis mahasiswa. Kegagalan unit menyediakan kegiatan, brief, atau supervisi tidak boleh dibebankan kepada mahasiswa. Target bulanan dan semester harus disahkan serta disesuaikan jika terdapat libur panjang, keterbatasan anggaran, atau keadaan khusus.</w:t>
      </w:r>
    </w:p>
    <w:p>
      <w:pPr>
        <w:pStyle w:val="Heading1"/>
        <w:spacing w:before="180" w:after="80"/>
      </w:pPr>
      <w:r>
        <w:t>10. Ketentuan pembebasan Sabtu dan program Taiwan</w:t>
      </w:r>
    </w:p>
    <w:p>
      <w:pPr>
        <w:pStyle w:val="ListBullet"/>
      </w:pPr>
      <w:r>
        <w:t>Mahasiswa yang memperoleh pembebasan rutin Sabtu karena berhasil mereferensikan mahasiswa baru mengikuti tanggal keputusan yang diverifikasi PMB, Keuangan dan WR II; jangan tandai Mangkir.</w:t>
      </w:r>
    </w:p>
    <w:p>
      <w:pPr>
        <w:pStyle w:val="ListBullet"/>
      </w:pPr>
      <w:r>
        <w:t>Pembebasan rutin Sabtu berlaku sesuai periode persetujuan dan tidak menghapus kewajiban akademik atau kontribusi lain yang sah.</w:t>
      </w:r>
    </w:p>
    <w:p>
      <w:pPr>
        <w:pStyle w:val="ListBullet"/>
      </w:pPr>
      <w:r>
        <w:t>Mahasiswa yang mengajukan student exchange Taiwan atau program 3+2 MCUT mengikuti SK terbaru: jalur referensi minimal satu mahasiswa baru atau alternatif kontribusi strategis/proyek khusus yang disetujui Rektor jika ketentuan alternatif sudah ditetapkan.</w:t>
      </w:r>
    </w:p>
    <w:p>
      <w:pPr>
        <w:pStyle w:val="ListBullet"/>
      </w:pPr>
      <w:r>
        <w:t>Satu referral tidak otomatis menghasilkan beberapa fasilitas sekaligus; persetujuan tertulis berwenang wajib dicatat di log referensi.</w:t>
      </w:r>
    </w:p>
    <w:p>
      <w:pPr>
        <w:pStyle w:val="ListBullet"/>
      </w:pPr>
      <w:r>
        <w:t>Komitmen mahasiswa angkatan lama dan mahasiswa dengan perjanjian aktif mengikuti ketentuan peralihan SK; tidak menerapkan kewajiban baru secara berlaku surut.</w:t>
      </w:r>
    </w:p>
    <w:p>
      <w:pPr>
        <w:pStyle w:val="Heading1"/>
        <w:spacing w:before="180" w:after="80"/>
      </w:pPr>
      <w:r>
        <w:t>11. Kontrol mutu, audit, dan perlindungan mahasiswa</w:t>
      </w:r>
    </w:p>
    <w:p>
      <w:pPr>
        <w:pStyle w:val="ListBullet"/>
      </w:pPr>
      <w:r>
        <w:t>Operator memeriksa Task ID dan tautan bukti mingguan. WR I mengaudit minimal 5 tugas Jalur A atau 10% hasil selesai tiap bulan (yang lebih besar, jika tersedia); WR II mengaudit standar yang sama pada Jalur B. Temuan dan perbaikan dicatat pada dashboard gabungan.</w:t>
      </w:r>
    </w:p>
    <w:p>
      <w:pPr>
        <w:pStyle w:val="ListBullet"/>
      </w:pPr>
      <w:r>
        <w:t>Mahasiswa dapat meminta klarifikasi skor kepada owner Task ID. Bila terdapat konflik kepentingan, verifikasi silang dilakukan oleh WR lain atau PIC independen, lalu alasan dan keputusan dicatat dalam lima hari kerja setelah bukti lengkap.</w:t>
      </w:r>
    </w:p>
    <w:p>
      <w:pPr>
        <w:pStyle w:val="ListBullet"/>
      </w:pPr>
      <w:r>
        <w:t>Jangan mengunggah nomor identitas, data calon mahasiswa, atau kontak pribadi ke folder bukti publik; akses dibatasi ke unit yang berkepentingan.</w:t>
      </w:r>
    </w:p>
    <w:p>
      <w:pPr>
        <w:pStyle w:val="ListBullet"/>
      </w:pPr>
      <w:r>
        <w:t>Hak atas karya, penggunaan foto/testimoni, jadwal, serta izin publikasi mengikuti persetujuan tertulis yang terpisah ketika diperlukan.</w:t>
      </w:r>
    </w:p>
    <w:p>
      <w:pPr>
        <w:pStyle w:val="ListBullet"/>
      </w:pPr>
      <w:r>
        <w:t>Kegiatan harus bersifat pembelajaran terstruktur; apabila penugasannya secara substansi merupakan pekerjaan rutin, perlu pengaturan hubungan kerja/magang tersendiri yang sah.</w:t>
      </w:r>
    </w:p>
    <w:p>
      <w:pPr>
        <w:pStyle w:val="Heading1"/>
        <w:spacing w:before="180" w:after="80"/>
      </w:pPr>
      <w:r>
        <w:t>12. Struktur folder dan alur dashboard</w:t>
      </w:r>
    </w:p>
    <w:p>
      <w:pPr>
        <w:spacing w:after="80"/>
      </w:pPr>
      <w:r>
        <w:t>Folder disarankan: ITBC/Beasiswa/TA-2027-2028/{01-SK-Perjanjian,02-RCI,03-Task-Brief,04-WRI-Event-Seminar,05-WRII-Marketing-Content,06-Teknologi-Sosial,07-Referensi-TERBATAS,08-Evaluasi,09-Laporan-Rektor}. Nama file: TA27_IDMahasiswa_TaskID_Tanggal_Jenis_V01.ext. Akses dibatasi berdasarkan peran, dan dokumen referensi/keuangan tidak berada pada folder publik.</w:t>
      </w:r>
    </w:p>
    <w:p>
      <w:pPr>
        <w:spacing w:after="80"/>
      </w:pPr>
      <w:r>
        <w:t>Excel CSC-MS merupakan register lintas unit. Semua Task ID wajib memiliki label OWNER: WR I (event/akademik-kemahasiswaan) atau WR II (marketing/PMB), termasuk apabila dicatat sementara pada kolom PIC/Catatan. Saat tracker diperbarui berikutnya, tambahkan kolom OWNER dan kategori tugas sebagai dropdown. Masing-masing WR menandatangani/menyetujui rekap jalurnya; operator menggabungkan dashboard untuk Rektor.</w:t>
      </w:r>
    </w:p>
    <w:p>
      <w:pPr>
        <w:pStyle w:val="Heading1"/>
        <w:spacing w:before="180" w:after="80"/>
      </w:pPr>
      <w:r>
        <w:t>13. Contoh pilot 30 hari</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3293"/>
            <w:shd w:fill="16324F"/>
            <w:vAlign w:val="center"/>
          </w:tcPr>
          <w:p>
            <w:r>
              <w:rPr>
                <w:b/>
                <w:color w:val="FFFFFF"/>
                <w:sz w:val="16"/>
              </w:rPr>
              <w:t>Pekan</w:t>
            </w:r>
          </w:p>
        </w:tc>
        <w:tc>
          <w:tcPr>
            <w:tcW w:type="dxa" w:w="3293"/>
            <w:shd w:fill="16324F"/>
            <w:vAlign w:val="center"/>
          </w:tcPr>
          <w:p>
            <w:r>
              <w:rPr>
                <w:b/>
                <w:color w:val="FFFFFF"/>
                <w:sz w:val="16"/>
              </w:rPr>
              <w:t>Target implementasi</w:t>
            </w:r>
          </w:p>
        </w:tc>
        <w:tc>
          <w:tcPr>
            <w:tcW w:type="dxa" w:w="3293"/>
            <w:shd w:fill="16324F"/>
            <w:vAlign w:val="center"/>
          </w:tcPr>
          <w:p>
            <w:r>
              <w:rPr>
                <w:b/>
                <w:color w:val="FFFFFF"/>
                <w:sz w:val="16"/>
              </w:rPr>
              <w:t>Bukti selesai</w:t>
            </w:r>
          </w:p>
        </w:tc>
      </w:tr>
      <w:tr>
        <w:trPr>
          <w:cantSplit/>
        </w:trPr>
        <w:tc>
          <w:tcPr>
            <w:tcW w:type="dxa" w:w="3293"/>
            <w:vAlign w:val="center"/>
          </w:tcPr>
          <w:p>
            <w:pPr>
              <w:spacing w:after="40"/>
            </w:pPr>
            <w:r>
              <w:rPr>
                <w:sz w:val="16"/>
              </w:rPr>
              <w:t>Pekan 1</w:t>
            </w:r>
          </w:p>
        </w:tc>
        <w:tc>
          <w:tcPr>
            <w:tcW w:type="dxa" w:w="3293"/>
            <w:vAlign w:val="center"/>
          </w:tcPr>
          <w:p>
            <w:pPr>
              <w:spacing w:after="40"/>
            </w:pPr>
            <w:r>
              <w:rPr>
                <w:sz w:val="16"/>
              </w:rPr>
              <w:t>Tetapkan PIC Jalur A/B, pilih 10 mahasiswa pilot, susun 1 event mini WR I dan 1 kampanye WR II; buat RCI dan brief tugas.</w:t>
            </w:r>
          </w:p>
        </w:tc>
        <w:tc>
          <w:tcPr>
            <w:tcW w:type="dxa" w:w="3293"/>
            <w:vAlign w:val="center"/>
          </w:tcPr>
          <w:p>
            <w:pPr>
              <w:spacing w:after="40"/>
            </w:pPr>
            <w:r>
              <w:rPr>
                <w:sz w:val="16"/>
              </w:rPr>
              <w:t>Kalender 30 hari dua unit, pemilik Task ID, dan penugasan siap.</w:t>
            </w:r>
          </w:p>
        </w:tc>
      </w:tr>
      <w:tr>
        <w:trPr>
          <w:cantSplit/>
        </w:trPr>
        <w:tc>
          <w:tcPr>
            <w:tcW w:type="dxa" w:w="3293"/>
            <w:vAlign w:val="center"/>
          </w:tcPr>
          <w:p>
            <w:pPr>
              <w:spacing w:after="40"/>
            </w:pPr>
            <w:r>
              <w:rPr>
                <w:sz w:val="16"/>
              </w:rPr>
              <w:t>Pekan 2</w:t>
            </w:r>
          </w:p>
        </w:tc>
        <w:tc>
          <w:tcPr>
            <w:tcW w:type="dxa" w:w="3293"/>
            <w:vAlign w:val="center"/>
          </w:tcPr>
          <w:p>
            <w:pPr>
              <w:spacing w:after="40"/>
            </w:pPr>
            <w:r>
              <w:rPr>
                <w:sz w:val="16"/>
              </w:rPr>
              <w:t>Laksanakan event mahasiswa/mini-seminar dengan panitia, serta produksi konten dan story; kumpulkan artefak, absensi, laporan.</w:t>
            </w:r>
          </w:p>
        </w:tc>
        <w:tc>
          <w:tcPr>
            <w:tcW w:type="dxa" w:w="3293"/>
            <w:vAlign w:val="center"/>
          </w:tcPr>
          <w:p>
            <w:pPr>
              <w:spacing w:after="40"/>
            </w:pPr>
            <w:r>
              <w:rPr>
                <w:sz w:val="16"/>
              </w:rPr>
              <w:t>Bukti event WR I dan konten WR II dapat ditinjau.</w:t>
            </w:r>
          </w:p>
        </w:tc>
      </w:tr>
      <w:tr>
        <w:trPr>
          <w:cantSplit/>
        </w:trPr>
        <w:tc>
          <w:tcPr>
            <w:tcW w:type="dxa" w:w="3293"/>
            <w:vAlign w:val="center"/>
          </w:tcPr>
          <w:p>
            <w:pPr>
              <w:spacing w:after="40"/>
            </w:pPr>
            <w:r>
              <w:rPr>
                <w:sz w:val="16"/>
              </w:rPr>
              <w:t>Pekan 3</w:t>
            </w:r>
          </w:p>
        </w:tc>
        <w:tc>
          <w:tcPr>
            <w:tcW w:type="dxa" w:w="3293"/>
            <w:vAlign w:val="center"/>
          </w:tcPr>
          <w:p>
            <w:pPr>
              <w:spacing w:after="40"/>
            </w:pPr>
            <w:r>
              <w:rPr>
                <w:sz w:val="16"/>
              </w:rPr>
              <w:t>Evaluasi output, coaching, revisi; siapkan event/marketing minggu berikutnya dan audit sampel bukti.</w:t>
            </w:r>
          </w:p>
        </w:tc>
        <w:tc>
          <w:tcPr>
            <w:tcW w:type="dxa" w:w="3293"/>
            <w:vAlign w:val="center"/>
          </w:tcPr>
          <w:p>
            <w:pPr>
              <w:spacing w:after="40"/>
            </w:pPr>
            <w:r>
              <w:rPr>
                <w:sz w:val="16"/>
              </w:rPr>
              <w:t>Laporan QC dan status revisi; tidak ada task tanpa owner.</w:t>
            </w:r>
          </w:p>
        </w:tc>
      </w:tr>
      <w:tr>
        <w:trPr>
          <w:cantSplit/>
        </w:trPr>
        <w:tc>
          <w:tcPr>
            <w:tcW w:type="dxa" w:w="3293"/>
            <w:vAlign w:val="center"/>
          </w:tcPr>
          <w:p>
            <w:pPr>
              <w:spacing w:after="40"/>
            </w:pPr>
            <w:r>
              <w:rPr>
                <w:sz w:val="16"/>
              </w:rPr>
              <w:t>Pekan 4</w:t>
            </w:r>
          </w:p>
        </w:tc>
        <w:tc>
          <w:tcPr>
            <w:tcW w:type="dxa" w:w="3293"/>
            <w:vAlign w:val="center"/>
          </w:tcPr>
          <w:p>
            <w:pPr>
              <w:spacing w:after="40"/>
            </w:pPr>
            <w:r>
              <w:rPr>
                <w:sz w:val="16"/>
              </w:rPr>
              <w:t>Tutup task, verifikasi referral, evaluasi program dua WR, laporkan masalah serta usulan perbaikan ke Rektor.</w:t>
            </w:r>
          </w:p>
        </w:tc>
        <w:tc>
          <w:tcPr>
            <w:tcW w:type="dxa" w:w="3293"/>
            <w:vAlign w:val="center"/>
          </w:tcPr>
          <w:p>
            <w:pPr>
              <w:spacing w:after="40"/>
            </w:pPr>
            <w:r>
              <w:rPr>
                <w:sz w:val="16"/>
              </w:rPr>
              <w:t>Dashboard WR I &amp; WR II, satu halaman laporan Rektor, kalender bulan depan.</w:t>
            </w:r>
          </w:p>
        </w:tc>
      </w:tr>
    </w:tbl>
    <w:p/>
    <w:p>
      <w:pPr>
        <w:pStyle w:val="Heading1"/>
        <w:pageBreakBefore/>
        <w:spacing w:before="180" w:after="80"/>
      </w:pPr>
      <w:r>
        <w:t>13A. Contoh kalender kegiatan mahasiswa di bawah WR I (ilustrasi)</w:t>
      </w:r>
    </w:p>
    <w:p>
      <w:pPr>
        <w:spacing w:after="80"/>
      </w:pPr>
      <w:r>
        <w:t>Tabel ini contoh ide, BUKAN janji bahwa kegiatan/kerja sama telah disahkan. WR I wajib mengganti dengan kalender semester dan anggaran yang disetujui. Kegiatan Carnegie School (YAWP, Summer Camp, 5-Day Di Zi Gui Class) hanya dapat menjadi kolaborasi setelah persetujuan PIC dan pengaturan tugas terpisah.</w:t>
      </w:r>
    </w:p>
    <w:tbl>
      <w:tblPr>
        <w:tblStyle w:val="TableGrid"/>
        <w:tblW w:type="auto" w:w="0"/>
        <w:tblLayout w:type="fixed"/>
        <w:tblLook w:firstColumn="1" w:firstRow="1" w:lastColumn="0" w:lastRow="0" w:noHBand="0" w:noVBand="1" w:val="04A0"/>
      </w:tblPr>
      <w:tblGrid>
        <w:gridCol w:w="3293"/>
        <w:gridCol w:w="3293"/>
        <w:gridCol w:w="3293"/>
      </w:tblGrid>
      <w:tr>
        <w:trPr>
          <w:cantSplit/>
        </w:trPr>
        <w:tc>
          <w:tcPr>
            <w:tcW w:type="dxa" w:w="1728"/>
            <w:vAlign w:val="center"/>
          </w:tcPr>
          <w:p>
            <w:pPr>
              <w:spacing w:after="40"/>
            </w:pPr>
            <w:r>
              <w:rPr>
                <w:sz w:val="15"/>
              </w:rPr>
              <w:t>Periode (contoh)</w:t>
            </w:r>
          </w:p>
        </w:tc>
        <w:tc>
          <w:tcPr>
            <w:tcW w:type="dxa" w:w="3600"/>
            <w:vAlign w:val="center"/>
          </w:tcPr>
          <w:p>
            <w:pPr>
              <w:spacing w:after="40"/>
            </w:pPr>
            <w:r>
              <w:rPr>
                <w:sz w:val="15"/>
              </w:rPr>
              <w:t>Program WR I</w:t>
            </w:r>
          </w:p>
        </w:tc>
        <w:tc>
          <w:tcPr>
            <w:tcW w:type="dxa" w:w="4464"/>
            <w:vAlign w:val="center"/>
          </w:tcPr>
          <w:p>
            <w:pPr>
              <w:spacing w:after="40"/>
            </w:pPr>
            <w:r>
              <w:rPr>
                <w:sz w:val="15"/>
              </w:rPr>
              <w:t>Kontribusi mahasiswa &amp; bukti</w:t>
            </w:r>
          </w:p>
        </w:tc>
      </w:tr>
      <w:tr>
        <w:trPr>
          <w:cantSplit/>
        </w:trPr>
        <w:tc>
          <w:tcPr>
            <w:tcW w:type="dxa" w:w="1728"/>
            <w:vAlign w:val="center"/>
          </w:tcPr>
          <w:p>
            <w:pPr>
              <w:spacing w:after="40"/>
            </w:pPr>
            <w:r>
              <w:rPr>
                <w:sz w:val="15"/>
              </w:rPr>
              <w:t>Semester ganjil</w:t>
            </w:r>
          </w:p>
        </w:tc>
        <w:tc>
          <w:tcPr>
            <w:tcW w:type="dxa" w:w="3600"/>
            <w:vAlign w:val="center"/>
          </w:tcPr>
          <w:p>
            <w:pPr>
              <w:spacing w:after="40"/>
            </w:pPr>
            <w:r>
              <w:rPr>
                <w:sz w:val="15"/>
              </w:rPr>
              <w:t>Student Orientation / Leadership Workshop; seminar kewirausahaan atau TI; student project showcase.</w:t>
            </w:r>
          </w:p>
        </w:tc>
        <w:tc>
          <w:tcPr>
            <w:tcW w:type="dxa" w:w="4464"/>
            <w:vAlign w:val="center"/>
          </w:tcPr>
          <w:p>
            <w:pPr>
              <w:spacing w:after="40"/>
            </w:pPr>
            <w:r>
              <w:rPr>
                <w:sz w:val="15"/>
              </w:rPr>
              <w:t>Panitia, MC, presentasi, pameran proyek, rundown, laporan &amp; refleksi.</w:t>
            </w:r>
          </w:p>
        </w:tc>
      </w:tr>
      <w:tr>
        <w:trPr>
          <w:cantSplit/>
        </w:trPr>
        <w:tc>
          <w:tcPr>
            <w:tcW w:type="dxa" w:w="1728"/>
            <w:vAlign w:val="center"/>
          </w:tcPr>
          <w:p>
            <w:pPr>
              <w:spacing w:after="40"/>
            </w:pPr>
            <w:r>
              <w:rPr>
                <w:sz w:val="15"/>
              </w:rPr>
              <w:t>Semester genap</w:t>
            </w:r>
          </w:p>
        </w:tc>
        <w:tc>
          <w:tcPr>
            <w:tcW w:type="dxa" w:w="3600"/>
            <w:vAlign w:val="center"/>
          </w:tcPr>
          <w:p>
            <w:pPr>
              <w:spacing w:after="40"/>
            </w:pPr>
            <w:r>
              <w:rPr>
                <w:sz w:val="15"/>
              </w:rPr>
              <w:t>Perayaan Imlek; seminar karier dan public speaking; kegiatan sosial berbasis proyek.</w:t>
            </w:r>
          </w:p>
        </w:tc>
        <w:tc>
          <w:tcPr>
            <w:tcW w:type="dxa" w:w="4464"/>
            <w:vAlign w:val="center"/>
          </w:tcPr>
          <w:p>
            <w:pPr>
              <w:spacing w:after="40"/>
            </w:pPr>
            <w:r>
              <w:rPr>
                <w:sz w:val="15"/>
              </w:rPr>
              <w:t>Proposal event, kepanitiaan, dokumentasi, umpan balik, evaluasi dampak.</w:t>
            </w:r>
          </w:p>
        </w:tc>
      </w:tr>
      <w:tr>
        <w:trPr>
          <w:cantSplit/>
        </w:trPr>
        <w:tc>
          <w:tcPr>
            <w:tcW w:type="dxa" w:w="1728"/>
            <w:vAlign w:val="center"/>
          </w:tcPr>
          <w:p>
            <w:pPr>
              <w:spacing w:after="40"/>
            </w:pPr>
            <w:r>
              <w:rPr>
                <w:sz w:val="15"/>
              </w:rPr>
              <w:t>Kolaborasi terjadwal</w:t>
            </w:r>
          </w:p>
        </w:tc>
        <w:tc>
          <w:tcPr>
            <w:tcW w:type="dxa" w:w="3600"/>
            <w:vAlign w:val="center"/>
          </w:tcPr>
          <w:p>
            <w:pPr>
              <w:spacing w:after="40"/>
            </w:pPr>
            <w:r>
              <w:rPr>
                <w:sz w:val="15"/>
              </w:rPr>
              <w:t>YAWP, Summer Camp atau 5-Day Di Zi Gui Class bersama Carnegie School (hanya bila disetujui).</w:t>
            </w:r>
          </w:p>
        </w:tc>
        <w:tc>
          <w:tcPr>
            <w:tcW w:type="dxa" w:w="4464"/>
            <w:vAlign w:val="center"/>
          </w:tcPr>
          <w:p>
            <w:pPr>
              <w:spacing w:after="40"/>
            </w:pPr>
            <w:r>
              <w:rPr>
                <w:sz w:val="15"/>
              </w:rPr>
              <w:t>Peran mahasiswa yang dirinci, PIC kedua pihak, izin dokumentasi, bukti dan laporan terpisah.</w:t>
            </w:r>
          </w:p>
        </w:tc>
      </w:tr>
    </w:tbl>
    <w:p>
      <w:pPr>
        <w:pStyle w:val="Heading1"/>
        <w:spacing w:before="180" w:after="80"/>
      </w:pPr>
      <w:r>
        <w:t>14. Persetujuan dan pengesahan</w:t>
      </w:r>
    </w:p>
    <w:p>
      <w:pPr>
        <w:spacing w:after="80"/>
      </w:pPr>
      <w:r>
        <w:t>Disusun Operator Kemahasiswaan: ____________________     Diperiksa WR I: ____________________</w:t>
      </w:r>
    </w:p>
    <w:p>
      <w:pPr>
        <w:spacing w:after="80"/>
      </w:pPr>
      <w:r>
        <w:t>Diperiksa WR II: ____________________                   Disahkan Rektor: ____________________</w:t>
      </w:r>
    </w:p>
    <w:p>
      <w:pPr>
        <w:spacing w:after="80"/>
      </w:pPr>
      <w:r>
        <w:t>Tanggal berlaku: ____________________</w:t>
      </w:r>
    </w:p>
    <w:sectPr w:rsidR="00FC693F" w:rsidRPr="0006063C" w:rsidSect="00034616">
      <w:headerReference w:type="default" r:id="rId9"/>
      <w:footerReference w:type="default" r:id="rId10"/>
      <w:pgSz w:w="12240" w:h="15840"/>
      <w:pgMar w:top="1181" w:right="1181" w:bottom="109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579"/>
        <w:sz w:val="14"/>
      </w:rPr>
      <w:t>DOKUMEN KERJA INTERNAL  •  DRAFT UNTUK PENGESAHAN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67E83"/>
        <w:sz w:val="14"/>
      </w:rPr>
      <w:t>ITB CARNEGIE  /  SCHOLARSHIP CONTRIBUTION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632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E8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24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