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Integração PedeAI Açaí Prime</w:t>
      </w:r>
    </w:p>
    <w:p>
      <w:r>
        <w:rPr>
          <w:color w:val="536074"/>
          <w:sz w:val="26"/>
        </w:rPr>
        <w:t>Guia de configuração e homologação do recebimento de pedidos</w:t>
      </w:r>
    </w:p>
    <w:p>
      <w:r>
        <w:t>O painel da Açaí Prime já possui a área Configuração PedeAI e uma URL de webhook reservada. Este guia mostra quais dados devem ser solicitados ao PedeAI, onde preenchê-los e como conduzir os testes antes de liberar pedidos reais. A integração não deve ser ativada em produção antes da homologação formal.</w:t>
      </w:r>
    </w:p>
    <w:p>
      <w:pPr>
        <w:pStyle w:val="Heading1"/>
      </w:pPr>
      <w:r>
        <w:t>O que já está preparado</w:t>
      </w:r>
    </w:p>
    <w:p>
      <w:pPr>
        <w:pStyle w:val="ListBullet"/>
      </w:pPr>
      <w:r>
        <w:t>Seção Configuração PedeAI dentro de Configurações no painel do proprietário.</w:t>
      </w:r>
    </w:p>
    <w:p>
      <w:pPr>
        <w:pStyle w:val="ListBullet"/>
      </w:pPr>
      <w:r>
        <w:t>Campos para ambiente, ID da loja, Client ID, URL da API, token e segredo de webhook.</w:t>
      </w:r>
    </w:p>
    <w:p>
      <w:pPr>
        <w:pStyle w:val="ListBullet"/>
      </w:pPr>
      <w:r>
        <w:t>URL reservada para recebimento: https://prime-acai.wpnz.com.br/api/integrations/pedeai/webhook.</w:t>
      </w:r>
    </w:p>
    <w:p>
      <w:pPr>
        <w:pStyle w:val="ListBullet"/>
      </w:pPr>
      <w:r>
        <w:t>Indicador de que token e segredo já foram cadastrados, sem exibir os valores novamente.</w:t>
      </w:r>
    </w:p>
    <w:p>
      <w:pPr>
        <w:pStyle w:val="ListBullet"/>
      </w:pPr>
      <w:r>
        <w:t>Identificação planejada no painel de pedidos: Delivery (PedeAI).</w:t>
      </w:r>
    </w:p>
    <w:p>
      <w:pPr>
        <w:pStyle w:val="Heading1"/>
      </w:pPr>
      <w:r>
        <w:t>Dados que devem ser obtidos com o PedeAI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43A73"/>
          </w:tcPr>
          <w:p>
            <w:r>
              <w:rPr>
                <w:b/>
                <w:color w:val="FFFFFF"/>
              </w:rPr>
              <w:t>Informação</w:t>
            </w:r>
          </w:p>
        </w:tc>
        <w:tc>
          <w:tcPr>
            <w:tcW w:type="dxa" w:w="3324"/>
            <w:shd w:fill="243A73"/>
          </w:tcPr>
          <w:p>
            <w:r>
              <w:rPr>
                <w:b/>
                <w:color w:val="FFFFFF"/>
              </w:rPr>
              <w:t>Onde será usada</w:t>
            </w:r>
          </w:p>
        </w:tc>
        <w:tc>
          <w:tcPr>
            <w:tcW w:type="dxa" w:w="3324"/>
            <w:shd w:fill="243A73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3324"/>
            <w:vAlign w:val="center"/>
          </w:tcPr>
          <w:p>
            <w:r>
              <w:t>Ambiente</w:t>
            </w:r>
          </w:p>
        </w:tc>
        <w:tc>
          <w:tcPr>
            <w:tcW w:type="dxa" w:w="3324"/>
            <w:vAlign w:val="center"/>
          </w:tcPr>
          <w:p>
            <w:r>
              <w:t>Campo Ambiente</w:t>
            </w:r>
          </w:p>
        </w:tc>
        <w:tc>
          <w:tcPr>
            <w:tcW w:type="dxa" w:w="3324"/>
            <w:vAlign w:val="center"/>
          </w:tcPr>
          <w:p>
            <w:r>
              <w:t>Começar em Sandbox ou homologação.</w:t>
            </w:r>
          </w:p>
        </w:tc>
      </w:tr>
      <w:tr>
        <w:tc>
          <w:tcPr>
            <w:tcW w:type="dxa" w:w="3324"/>
            <w:vAlign w:val="center"/>
          </w:tcPr>
          <w:p>
            <w:r>
              <w:t>ID da loja ou estabelecimento</w:t>
            </w:r>
          </w:p>
        </w:tc>
        <w:tc>
          <w:tcPr>
            <w:tcW w:type="dxa" w:w="3324"/>
            <w:vAlign w:val="center"/>
          </w:tcPr>
          <w:p>
            <w:r>
              <w:t>ID da loja no PedeAI</w:t>
            </w:r>
          </w:p>
        </w:tc>
        <w:tc>
          <w:tcPr>
            <w:tcW w:type="dxa" w:w="3324"/>
            <w:vAlign w:val="center"/>
          </w:tcPr>
          <w:p>
            <w:r>
              <w:t>Identifica a Açaí Prime na plataforma.</w:t>
            </w:r>
          </w:p>
        </w:tc>
      </w:tr>
      <w:tr>
        <w:tc>
          <w:tcPr>
            <w:tcW w:type="dxa" w:w="3324"/>
            <w:vAlign w:val="center"/>
          </w:tcPr>
          <w:p>
            <w:r>
              <w:t>Client ID ou App ID</w:t>
            </w:r>
          </w:p>
        </w:tc>
        <w:tc>
          <w:tcPr>
            <w:tcW w:type="dxa" w:w="3324"/>
            <w:vAlign w:val="center"/>
          </w:tcPr>
          <w:p>
            <w:r>
              <w:t>Client ID ou App ID</w:t>
            </w:r>
          </w:p>
        </w:tc>
        <w:tc>
          <w:tcPr>
            <w:tcW w:type="dxa" w:w="3324"/>
            <w:vAlign w:val="center"/>
          </w:tcPr>
          <w:p>
            <w:r>
              <w:t>Credencial pública da aplicação.</w:t>
            </w:r>
          </w:p>
        </w:tc>
      </w:tr>
      <w:tr>
        <w:tc>
          <w:tcPr>
            <w:tcW w:type="dxa" w:w="3324"/>
            <w:vAlign w:val="center"/>
          </w:tcPr>
          <w:p>
            <w:r>
              <w:t>URL base da API</w:t>
            </w:r>
          </w:p>
        </w:tc>
        <w:tc>
          <w:tcPr>
            <w:tcW w:type="dxa" w:w="3324"/>
            <w:vAlign w:val="center"/>
          </w:tcPr>
          <w:p>
            <w:r>
              <w:t>URL base da API</w:t>
            </w:r>
          </w:p>
        </w:tc>
        <w:tc>
          <w:tcPr>
            <w:tcW w:type="dxa" w:w="3324"/>
            <w:vAlign w:val="center"/>
          </w:tcPr>
          <w:p>
            <w:r>
              <w:t>Usar exatamente a URL informada pelo PedeAI.</w:t>
            </w:r>
          </w:p>
        </w:tc>
      </w:tr>
      <w:tr>
        <w:tc>
          <w:tcPr>
            <w:tcW w:type="dxa" w:w="3324"/>
            <w:vAlign w:val="center"/>
          </w:tcPr>
          <w:p>
            <w:r>
              <w:t>Token de acesso</w:t>
            </w:r>
          </w:p>
        </w:tc>
        <w:tc>
          <w:tcPr>
            <w:tcW w:type="dxa" w:w="3324"/>
            <w:vAlign w:val="center"/>
          </w:tcPr>
          <w:p>
            <w:r>
              <w:t>Token de acesso</w:t>
            </w:r>
          </w:p>
        </w:tc>
        <w:tc>
          <w:tcPr>
            <w:tcW w:type="dxa" w:w="3324"/>
            <w:vAlign w:val="center"/>
          </w:tcPr>
          <w:p>
            <w:r>
              <w:t>Dado sigiloso. Não enviar por WhatsApp ou imprimir.</w:t>
            </w:r>
          </w:p>
        </w:tc>
      </w:tr>
      <w:tr>
        <w:tc>
          <w:tcPr>
            <w:tcW w:type="dxa" w:w="3324"/>
            <w:vAlign w:val="center"/>
          </w:tcPr>
          <w:p>
            <w:r>
              <w:t>Segredo ou assinatura de webhook</w:t>
            </w:r>
          </w:p>
        </w:tc>
        <w:tc>
          <w:tcPr>
            <w:tcW w:type="dxa" w:w="3324"/>
            <w:vAlign w:val="center"/>
          </w:tcPr>
          <w:p>
            <w:r>
              <w:t>Segredo do webhook</w:t>
            </w:r>
          </w:p>
        </w:tc>
        <w:tc>
          <w:tcPr>
            <w:tcW w:type="dxa" w:w="3324"/>
            <w:vAlign w:val="center"/>
          </w:tcPr>
          <w:p>
            <w:r>
              <w:t>Necessário quando a plataforma assina os eventos.</w:t>
            </w:r>
          </w:p>
        </w:tc>
      </w:tr>
      <w:tr>
        <w:tc>
          <w:tcPr>
            <w:tcW w:type="dxa" w:w="3324"/>
            <w:vAlign w:val="center"/>
          </w:tcPr>
          <w:p>
            <w:r>
              <w:t>Documentação de eventos</w:t>
            </w:r>
          </w:p>
        </w:tc>
        <w:tc>
          <w:tcPr>
            <w:tcW w:type="dxa" w:w="3324"/>
            <w:vAlign w:val="center"/>
          </w:tcPr>
          <w:p>
            <w:r>
              <w:t>Equipe técnica</w:t>
            </w:r>
          </w:p>
        </w:tc>
        <w:tc>
          <w:tcPr>
            <w:tcW w:type="dxa" w:w="3324"/>
            <w:vAlign w:val="center"/>
          </w:tcPr>
          <w:p>
            <w:r>
              <w:t>Precisamos do formato dos pedidos, status e autenticação.</w:t>
            </w:r>
          </w:p>
        </w:tc>
      </w:tr>
    </w:tbl>
    <w:p>
      <w:pPr>
        <w:pStyle w:val="Heading1"/>
      </w:pPr>
      <w:r>
        <w:t>Passo a passo</w:t>
      </w:r>
    </w:p>
    <w:p>
      <w:pPr>
        <w:pStyle w:val="Heading2"/>
      </w:pPr>
      <w:r>
        <w:t>1 Solicitar o acesso de integração</w:t>
      </w:r>
    </w:p>
    <w:p>
      <w:r>
        <w:t>Solicite ao PedeAI o cadastro da software house e as credenciais de Sandbox. Peça também a documentação técnica atualizada, o catálogo de eventos, os métodos de autenticação e os critérios de homologação.</w:t>
      </w:r>
    </w:p>
    <w:p>
      <w:pPr>
        <w:pStyle w:val="Heading2"/>
      </w:pPr>
      <w:r>
        <w:t>2 Preencher a configuração no painel</w:t>
      </w:r>
    </w:p>
    <w:p>
      <w:pPr>
        <w:pStyle w:val="ListNumber"/>
      </w:pPr>
      <w:r>
        <w:t>Abra https://prime-acai.wpnz.com.br/painel e entre no painel do proprietário.</w:t>
      </w:r>
    </w:p>
    <w:p>
      <w:pPr>
        <w:pStyle w:val="ListNumber"/>
      </w:pPr>
      <w:r>
        <w:t>Acesse Configurações e localize a seção Configuração PedeAI.</w:t>
      </w:r>
    </w:p>
    <w:p>
      <w:pPr>
        <w:pStyle w:val="ListNumber"/>
      </w:pPr>
      <w:r>
        <w:t>Selecione Sandbox ou homologação.</w:t>
      </w:r>
    </w:p>
    <w:p>
      <w:pPr>
        <w:pStyle w:val="ListNumber"/>
      </w:pPr>
      <w:r>
        <w:t>Preencha ID da loja, Client ID, URL base, token e segredo, conforme os dados recebidos.</w:t>
      </w:r>
    </w:p>
    <w:p>
      <w:pPr>
        <w:pStyle w:val="ListNumber"/>
      </w:pPr>
      <w:r>
        <w:t>Clique em Salvar configurações PedeAI. Os campos de token e segredo ficarão ocultos depois de salvos.</w:t>
      </w:r>
    </w:p>
    <w:p>
      <w:pPr>
        <w:pStyle w:val="ListNumber"/>
      </w:pPr>
      <w:r>
        <w:t>Copie a URL de recebimento exibida e encaminhe-a ao suporte técnico do PedeAI quando for solicitado.</w:t>
      </w:r>
    </w:p>
    <w:p>
      <w:pPr>
        <w:pStyle w:val="Heading2"/>
      </w:pPr>
      <w:r>
        <w:t>3 Homologar os fluxos</w:t>
      </w:r>
    </w:p>
    <w:p>
      <w:r>
        <w:t>Execute os cenários abaixo em Sandbox. Registre data, número do pedido de teste, resultado e qualquer erro para enviar ao suporte.</w:t>
      </w:r>
    </w:p>
    <w:p>
      <w:pPr>
        <w:pStyle w:val="ListBullet"/>
      </w:pPr>
      <w:r>
        <w:t>Pedido de entrega com endereço, taxa e observação.</w:t>
      </w:r>
    </w:p>
    <w:p>
      <w:pPr>
        <w:pStyle w:val="ListBullet"/>
      </w:pPr>
      <w:r>
        <w:t>Pedido para retirada no balcão.</w:t>
      </w:r>
    </w:p>
    <w:p>
      <w:pPr>
        <w:pStyle w:val="ListBullet"/>
      </w:pPr>
      <w:r>
        <w:t>Pagamento em dinheiro com troco, cartão na entrega e pagamento online.</w:t>
      </w:r>
    </w:p>
    <w:p>
      <w:pPr>
        <w:pStyle w:val="ListBullet"/>
      </w:pPr>
      <w:r>
        <w:t>Cupom, desconto de item, complemento ou adicional quando esses recursos estiverem habilitados.</w:t>
      </w:r>
    </w:p>
    <w:p>
      <w:pPr>
        <w:pStyle w:val="ListBullet"/>
      </w:pPr>
      <w:r>
        <w:t>Alteração de status: novo, confirmado, preparando, pronto, saiu para entrega, concluído e cancelado.</w:t>
      </w:r>
    </w:p>
    <w:p>
      <w:pPr>
        <w:pStyle w:val="ListBullet"/>
      </w:pPr>
      <w:r>
        <w:t>Recusa ou cancelamento de pedido e o retorno do status para o PedeAI.</w:t>
      </w:r>
    </w:p>
    <w:p>
      <w:pPr>
        <w:pStyle w:val="Heading2"/>
      </w:pPr>
      <w:r>
        <w:t>4 Liberar produção</w:t>
      </w:r>
    </w:p>
    <w:p>
      <w:pPr>
        <w:pStyle w:val="ListNumber"/>
      </w:pPr>
      <w:r>
        <w:t>Receba do PedeAI a confirmação de homologação e as credenciais de Produção.</w:t>
      </w:r>
    </w:p>
    <w:p>
      <w:pPr>
        <w:pStyle w:val="ListNumber"/>
      </w:pPr>
      <w:r>
        <w:t>Troque o Ambiente para Produção e atualize as credenciais no painel.</w:t>
      </w:r>
    </w:p>
    <w:p>
      <w:pPr>
        <w:pStyle w:val="ListNumber"/>
      </w:pPr>
      <w:r>
        <w:t>Faça um pedido real acompanhado pelo responsável da loja.</w:t>
      </w:r>
    </w:p>
    <w:p>
      <w:pPr>
        <w:pStyle w:val="ListNumber"/>
      </w:pPr>
      <w:r>
        <w:t>Confirme se ele aparece no quadro de pedidos como Delivery (PedeAI), com itens, valores, endereço e pagamento corretos.</w:t>
      </w:r>
    </w:p>
    <w:p>
      <w:pPr>
        <w:pStyle w:val="ListNumber"/>
      </w:pPr>
      <w:r>
        <w:t>Ative o recebimento somente após essa conferência final.</w:t>
      </w:r>
    </w:p>
    <w:p>
      <w:pPr>
        <w:pStyle w:val="Heading1"/>
      </w:pPr>
      <w:r>
        <w:t>Regras de operação e segurança</w:t>
      </w:r>
    </w:p>
    <w:p>
      <w:pPr>
        <w:pStyle w:val="ListBullet"/>
      </w:pPr>
      <w:r>
        <w:t>Nunca compartilhar token ou segredo de webhook em grupos, prints ou mensagens abertas.</w:t>
      </w:r>
    </w:p>
    <w:p>
      <w:pPr>
        <w:pStyle w:val="ListBullet"/>
      </w:pPr>
      <w:r>
        <w:t>Manter o ambiente Sandbox enquanto a equipe PedeAI não aprovar a integração.</w:t>
      </w:r>
    </w:p>
    <w:p>
      <w:pPr>
        <w:pStyle w:val="ListBullet"/>
      </w:pPr>
      <w:r>
        <w:t>Se uma credencial for trocada pelo PedeAI, substituir o valor no painel e salvar novamente.</w:t>
      </w:r>
    </w:p>
    <w:p>
      <w:pPr>
        <w:pStyle w:val="ListBullet"/>
      </w:pPr>
      <w:r>
        <w:t>Antes de ativar Produção, confirmar que cardápio, disponibilidade, taxas de entrega e formas de pagamento no PedeAI coincidem com os dados da Açaí Prime.</w:t>
      </w:r>
    </w:p>
    <w:p>
      <w:pPr>
        <w:pStyle w:val="ListBullet"/>
      </w:pPr>
      <w:r>
        <w:t>Definir quem acompanhará pedidos que falharem, forem cancelados ou apresentarem divergência de valor.</w:t>
      </w:r>
    </w:p>
    <w:p>
      <w:pPr>
        <w:pStyle w:val="Heading1"/>
      </w:pPr>
      <w:r>
        <w:t>Ponto técnico para a homologação</w:t>
      </w:r>
    </w:p>
    <w:p>
      <w:r>
        <w:t>A URL reservada responde que a integração está em preparação enquanto o recebimento estiver desligado. Após o PedeAI aprovar o formato técnico dos eventos, o conector será habilitado para transformar cada pedido recebido em uma comanda no painel, registrando a origem Delivery (PedeAI) e devolvendo as atualizações de status exigidas pela plataforma.</w:t>
      </w:r>
    </w:p>
    <w:p>
      <w:pPr>
        <w:pStyle w:val="Heading1"/>
      </w:pPr>
      <w:r>
        <w:t>Referência oficial</w:t>
      </w:r>
    </w:p>
    <w:p>
      <w:r>
        <w:t>PedeAI. Introdução para integração: cadastro de software house, acesso Sandbox, homologação e ativação em produção. Disponível em https://pedeai.readme.io/reference/introdução. Acesso em 25 de setembro de 2026.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81"/>
        <w:sz w:val="16"/>
      </w:rPr>
      <w:t>Açaí Prime  |  Guia de integração PedeAI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8D1C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43A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8213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