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>
          <w:rFonts w:ascii="Arial" w:cs="Arial" w:eastAsia="Arial" w:hAnsi="Arial"/>
          <w:b/>
          <w:sz w:val="40"/>
          <w:szCs w:val="40"/>
        </w:rPr>
        <w:t>Sistema de Distribuição de Disciplinas - UFG</w:t>
      </w:r>
    </w:p>
    <w:p>
      <w:pPr>
        <w:pStyle w:val="style0"/>
        <w:jc w:val="right"/>
      </w:pPr>
      <w:r>
        <w:rPr>
          <w:rFonts w:ascii="Arial" w:cs="Arial" w:eastAsia="Arial" w:hAnsi="Arial"/>
          <w:b/>
          <w:sz w:val="40"/>
          <w:szCs w:val="40"/>
        </w:rPr>
        <w:t>Plano de Gerência de Configuração</w:t>
      </w:r>
    </w:p>
    <w:p>
      <w:pPr>
        <w:sectPr>
          <w:type w:val="nextPage"/>
          <w:pgSz w:h="15840" w:w="12240"/>
          <w:pgMar w:bottom="777" w:footer="0" w:gutter="0" w:header="0" w:left="1440" w:right="1440" w:top="1417"/>
          <w:pgNumType w:fmt="decimal"/>
          <w:formProt w:val="false"/>
          <w:titlePg/>
          <w:textDirection w:val="lrTb"/>
          <w:docGrid w:charSpace="18022" w:linePitch="288" w:type="default"/>
        </w:sectPr>
        <w:pStyle w:val="style0"/>
        <w:jc w:val="right"/>
      </w:pPr>
      <w:r>
        <w:rPr>
          <w:rFonts w:ascii="Arial" w:cs="Arial" w:eastAsia="Arial" w:hAnsi="Arial"/>
          <w:b/>
          <w:sz w:val="40"/>
          <w:szCs w:val="40"/>
        </w:rPr>
        <w:t>v</w:t>
      </w:r>
      <w:r>
        <w:rPr>
          <w:rFonts w:ascii="ARial" w:cs="Arial" w:eastAsia="Arial" w:hAnsi="ARial"/>
          <w:b/>
          <w:bCs/>
          <w:sz w:val="40"/>
          <w:szCs w:val="40"/>
        </w:rPr>
        <w:t xml:space="preserve">ersão </w:t>
      </w:r>
      <w:bookmarkStart w:id="0" w:name="versao"/>
      <w:r>
        <w:rPr>
          <w:rFonts w:ascii="ARial" w:hAnsi="ARial"/>
          <w:b/>
          <w:bCs/>
          <w:sz w:val="40"/>
          <w:szCs w:val="40"/>
        </w:rPr>
        <w:t>1.</w:t>
      </w:r>
      <w:bookmarkEnd w:id="0"/>
      <w:r>
        <w:rPr>
          <w:rFonts w:ascii="ARial" w:hAnsi="ARial"/>
          <w:b/>
          <w:bCs/>
          <w:sz w:val="40"/>
          <w:szCs w:val="40"/>
        </w:rPr>
        <w:t>3.0</w:t>
      </w:r>
    </w:p>
    <w:p>
      <w:pPr>
        <w:pStyle w:val="style0"/>
        <w:pageBreakBefore/>
        <w:jc w:val="center"/>
      </w:pPr>
      <w:r>
        <w:rPr>
          <w:rFonts w:ascii="Arial" w:cs="Arial" w:eastAsia="Arial" w:hAnsi="Arial"/>
          <w:b/>
          <w:sz w:val="24"/>
          <w:szCs w:val="24"/>
        </w:rPr>
        <w:t>Histórico da Revisão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394"/>
        <w:gridCol w:w="1116"/>
        <w:gridCol w:w="3828"/>
        <w:gridCol w:w="2238"/>
      </w:tblGrid>
      <w:tr>
        <w:trPr>
          <w:cantSplit w:val="false"/>
        </w:trPr>
        <w:tc>
          <w:tcPr>
            <w:tcW w:type="dxa" w:w="2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Data</w:t>
            </w:r>
          </w:p>
        </w:tc>
        <w:tc>
          <w:tcPr>
            <w:tcW w:type="dxa" w:w="11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Versão</w:t>
            </w:r>
          </w:p>
        </w:tc>
        <w:tc>
          <w:tcPr>
            <w:tcW w:type="dxa" w:w="3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2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21/10/2015</w:t>
            </w:r>
          </w:p>
        </w:tc>
        <w:tc>
          <w:tcPr>
            <w:tcW w:type="dxa" w:w="11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1.0.0</w:t>
            </w:r>
          </w:p>
        </w:tc>
        <w:tc>
          <w:tcPr>
            <w:tcW w:type="dxa" w:w="3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Criação do Plano de Gerência de Configuração</w:t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Weslley Martins Araujo</w:t>
            </w:r>
          </w:p>
        </w:tc>
      </w:tr>
      <w:tr>
        <w:trPr>
          <w:cantSplit w:val="false"/>
        </w:trPr>
        <w:tc>
          <w:tcPr>
            <w:tcW w:type="dxa" w:w="2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15/11/2015</w:t>
            </w:r>
          </w:p>
        </w:tc>
        <w:tc>
          <w:tcPr>
            <w:tcW w:type="dxa" w:w="11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1.1.0</w:t>
            </w:r>
          </w:p>
        </w:tc>
        <w:tc>
          <w:tcPr>
            <w:tcW w:type="dxa" w:w="3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Novas pastas e novos arquivos</w:t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Pedro Teles</w:t>
            </w:r>
          </w:p>
        </w:tc>
      </w:tr>
      <w:tr>
        <w:trPr>
          <w:cantSplit w:val="false"/>
        </w:trPr>
        <w:tc>
          <w:tcPr>
            <w:tcW w:type="dxa" w:w="2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16/11/2015</w:t>
            </w:r>
          </w:p>
        </w:tc>
        <w:tc>
          <w:tcPr>
            <w:tcW w:type="dxa" w:w="11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1.2.0</w:t>
            </w:r>
          </w:p>
        </w:tc>
        <w:tc>
          <w:tcPr>
            <w:tcW w:type="dxa" w:w="3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Gerenciamento de novos artefatos e definição de branchs</w:t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Weslley Martins Araujo</w:t>
            </w:r>
          </w:p>
        </w:tc>
      </w:tr>
      <w:tr>
        <w:trPr>
          <w:cantSplit w:val="false"/>
        </w:trPr>
        <w:tc>
          <w:tcPr>
            <w:tcW w:type="dxa" w:w="2394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27/11/2015</w:t>
            </w:r>
          </w:p>
        </w:tc>
        <w:tc>
          <w:tcPr>
            <w:tcW w:type="dxa" w:w="1116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1.3.0</w:t>
            </w:r>
          </w:p>
        </w:tc>
        <w:tc>
          <w:tcPr>
            <w:tcW w:type="dxa" w:w="3828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Inclusão das pastas e documentos para atender a disciplina de Mercado de Software;</w:t>
            </w:r>
          </w:p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Alteração nos critérios de versão dos documentos;</w:t>
            </w:r>
          </w:p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Política de monitoramento e ações de correção;</w:t>
            </w:r>
          </w:p>
        </w:tc>
        <w:tc>
          <w:tcPr>
            <w:tcW w:type="dxa" w:w="2238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12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Pedro Teles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2"/>
        </w:numPr>
        <w:spacing w:after="60" w:before="120"/>
        <w:ind w:hanging="359" w:left="0" w:right="0"/>
        <w:contextualSpacing/>
      </w:pPr>
      <w:bookmarkStart w:id="1" w:name="h.ccblwx20erk6"/>
      <w:bookmarkEnd w:id="1"/>
      <w:r>
        <w:rPr>
          <w:rFonts w:ascii="Arial" w:cs="Arial" w:eastAsia="Arial" w:hAnsi="Arial"/>
          <w:b/>
          <w:sz w:val="24"/>
          <w:szCs w:val="24"/>
        </w:rPr>
        <w:t>INTRODUÇÃO</w:t>
      </w:r>
    </w:p>
    <w:p>
      <w:pPr>
        <w:pStyle w:val="style0"/>
        <w:spacing w:after="60" w:before="120"/>
        <w:contextualSpacing w:val="false"/>
      </w:pPr>
      <w:bookmarkStart w:id="2" w:name="h.e6ucecvv8y77"/>
      <w:bookmarkStart w:id="3" w:name="h.e6ucecvv8y77"/>
      <w:bookmarkEnd w:id="3"/>
      <w:r>
        <w:rPr/>
      </w:r>
    </w:p>
    <w:p>
      <w:pPr>
        <w:pStyle w:val="style0"/>
        <w:spacing w:after="60" w:before="120"/>
        <w:contextualSpacing w:val="false"/>
      </w:pPr>
      <w:bookmarkStart w:id="4" w:name="h.o2ix7c5d627k"/>
      <w:bookmarkEnd w:id="4"/>
      <w:r>
        <w:rPr>
          <w:rFonts w:ascii="Arial" w:cs="Arial" w:eastAsia="Arial" w:hAnsi="Arial"/>
          <w:b/>
          <w:sz w:val="24"/>
          <w:szCs w:val="24"/>
        </w:rPr>
        <w:t>1.1.Finalidade</w:t>
      </w:r>
    </w:p>
    <w:p>
      <w:pPr>
        <w:pStyle w:val="style0"/>
        <w:spacing w:after="120" w:before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Este documento possui a finalidade de gerenciar e controlar os artefatos de software gerados no projeto Sistema de Distribuição de Disciplinas UFG definindo os meios utilizados para manter a integridade, histórico de alterações e controlar as mudanças. Assim, busca oferecer uma estruturação base para o repositório padrão do projeto de modo que quaisquer documentos e artefatos gerados durante as variadas fases do ciclo de vida possam ser controlados a mantidos bem como possíveis alterações e solicitações de mudança em quaisquer dos documentos controlados.</w:t>
      </w:r>
    </w:p>
    <w:p>
      <w:pPr>
        <w:pStyle w:val="style0"/>
        <w:spacing w:after="120" w:before="0"/>
        <w:contextualSpacing w:val="false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5" w:name="h.o2ix7c5d627k1"/>
      <w:bookmarkEnd w:id="5"/>
      <w:r>
        <w:rPr>
          <w:rFonts w:ascii="Arial" w:cs="Arial" w:eastAsia="Arial" w:hAnsi="Arial"/>
          <w:b/>
          <w:sz w:val="24"/>
          <w:szCs w:val="24"/>
        </w:rPr>
        <w:t>1.2.Escopo</w:t>
      </w:r>
    </w:p>
    <w:p>
      <w:pPr>
        <w:pStyle w:val="style0"/>
        <w:spacing w:after="120" w:before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Este Plano de Gerência de Configuração é destinado para todos os integrantes da equipe responsáveis pelo desenvolvimento do projeto Sistema de Distribuição de Disciplinas UFG, e abrange todo o controle e gerenciamento da configuração do projeto.</w:t>
      </w:r>
    </w:p>
    <w:p>
      <w:pPr>
        <w:pStyle w:val="style0"/>
        <w:spacing w:after="120" w:before="0"/>
        <w:contextualSpacing w:val="false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6" w:name="h.3znysh7"/>
      <w:bookmarkEnd w:id="6"/>
      <w:r>
        <w:rPr>
          <w:rFonts w:ascii="Arial" w:cs="Arial" w:eastAsia="Arial" w:hAnsi="Arial"/>
          <w:b/>
          <w:sz w:val="24"/>
          <w:szCs w:val="24"/>
        </w:rPr>
        <w:t>1.3.Definições, Acrônimos e Abreviações</w:t>
      </w:r>
    </w:p>
    <w:p>
      <w:pPr>
        <w:pStyle w:val="style0"/>
        <w:spacing w:after="120" w:before="0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SDD-UFG -  Sistema de Distribuição de Disciplinas UFG</w:t>
      </w:r>
    </w:p>
    <w:p>
      <w:pPr>
        <w:pStyle w:val="style0"/>
        <w:spacing w:after="120" w:before="0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UFG – Universidade Federal de Goiás</w:t>
      </w:r>
    </w:p>
    <w:p>
      <w:pPr>
        <w:pStyle w:val="style0"/>
        <w:spacing w:after="120" w:before="0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GC - Gerência de Configuração</w:t>
      </w:r>
    </w:p>
    <w:p>
      <w:pPr>
        <w:pStyle w:val="style0"/>
        <w:spacing w:after="120" w:before="0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IC - Item de Configuração</w:t>
      </w:r>
    </w:p>
    <w:p>
      <w:pPr>
        <w:pStyle w:val="style0"/>
        <w:spacing w:after="120" w:before="0"/>
        <w:ind w:hanging="0" w:left="720" w:right="0"/>
        <w:contextualSpacing w:val="false"/>
      </w:pPr>
      <w:r>
        <w:rPr/>
      </w:r>
    </w:p>
    <w:p>
      <w:pPr>
        <w:pStyle w:val="style0"/>
        <w:spacing w:after="60" w:before="120"/>
        <w:contextualSpacing w:val="false"/>
      </w:pPr>
      <w:bookmarkStart w:id="7" w:name="h.2et92p0"/>
      <w:bookmarkEnd w:id="7"/>
      <w:r>
        <w:rPr>
          <w:rFonts w:ascii="Arial" w:cs="Arial" w:eastAsia="Arial" w:hAnsi="Arial"/>
          <w:b/>
          <w:sz w:val="24"/>
          <w:szCs w:val="24"/>
        </w:rPr>
        <w:t>1.4.Visão Geral</w:t>
      </w:r>
    </w:p>
    <w:p>
      <w:pPr>
        <w:pStyle w:val="style0"/>
        <w:jc w:val="both"/>
      </w:pPr>
      <w:r>
        <w:rPr>
          <w:rFonts w:ascii="Arial" w:cs="Arial" w:eastAsia="Arial" w:hAnsi="Arial"/>
          <w:sz w:val="24"/>
          <w:szCs w:val="24"/>
        </w:rPr>
        <w:tab/>
        <w:t>O contéudo deste documento está dividido em três seções principais: Identificação dos itens de configuração; Controle de todas as mudanças ocorridas no projeto; Estimativa dos itens adicionais à gerência de configuração.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numPr>
          <w:ilvl w:val="0"/>
          <w:numId w:val="2"/>
        </w:numPr>
        <w:spacing w:after="60" w:before="120"/>
        <w:ind w:hanging="359" w:left="0" w:right="0"/>
        <w:contextualSpacing/>
      </w:pPr>
      <w:bookmarkStart w:id="8" w:name="h.w11i7tfls749"/>
      <w:bookmarkEnd w:id="8"/>
      <w:r>
        <w:rPr>
          <w:rFonts w:ascii="Arial" w:cs="Arial" w:eastAsia="Arial" w:hAnsi="Arial"/>
          <w:b/>
          <w:sz w:val="24"/>
          <w:szCs w:val="24"/>
        </w:rPr>
        <w:t>ORGANIZAÇÃO E FERRAMENTAS</w:t>
      </w:r>
    </w:p>
    <w:p>
      <w:pPr>
        <w:pStyle w:val="style0"/>
        <w:spacing w:after="60" w:before="120"/>
        <w:contextualSpacing w:val="false"/>
      </w:pPr>
      <w:bookmarkStart w:id="9" w:name="h.tyjcwt"/>
      <w:bookmarkStart w:id="10" w:name="h.tyjcwt"/>
      <w:bookmarkEnd w:id="10"/>
      <w:r>
        <w:rPr/>
      </w:r>
    </w:p>
    <w:p>
      <w:pPr>
        <w:pStyle w:val="style0"/>
        <w:spacing w:after="60" w:before="120"/>
        <w:contextualSpacing w:val="false"/>
      </w:pPr>
      <w:bookmarkStart w:id="11" w:name="h.wohbkm5r7bve"/>
      <w:bookmarkEnd w:id="11"/>
      <w:r>
        <w:rPr>
          <w:rFonts w:ascii="Arial" w:cs="Arial" w:eastAsia="Arial" w:hAnsi="Arial"/>
          <w:b/>
          <w:sz w:val="24"/>
          <w:szCs w:val="24"/>
        </w:rPr>
        <w:t>2.1.Organização, Responsabilidades e Interfaces</w:t>
      </w:r>
    </w:p>
    <w:p>
      <w:pPr>
        <w:pStyle w:val="style0"/>
        <w:ind w:hanging="0" w:left="1" w:right="0"/>
        <w:jc w:val="both"/>
      </w:pPr>
      <w:r>
        <w:rPr>
          <w:rFonts w:ascii="Arial" w:cs="Arial" w:eastAsia="Arial" w:hAnsi="Arial"/>
          <w:sz w:val="24"/>
          <w:szCs w:val="24"/>
        </w:rPr>
        <w:tab/>
        <w:t>Os responsáveis pela execução das diversas atividades de gerenciamento de configuração do projeto serão os alunos Weslley Araujo e Pedro Teles, que tem por atribuições principais o estabelecimento de políticas e diretrizes de GC, a escrita e acompanhamento do Plano de Gerência de Configuração, a configuração do ambiente de GC, a criação de espaços de trabalho e a criação de baselines.</w:t>
      </w:r>
    </w:p>
    <w:p>
      <w:pPr>
        <w:pStyle w:val="style0"/>
        <w:ind w:hanging="0" w:left="1" w:right="0"/>
        <w:jc w:val="both"/>
      </w:pPr>
      <w:r>
        <w:rPr>
          <w:rFonts w:ascii="Arial" w:cs="Arial" w:eastAsia="Arial" w:hAnsi="Arial"/>
          <w:sz w:val="24"/>
          <w:szCs w:val="24"/>
        </w:rPr>
        <w:tab/>
        <w:t>Não obstante, todos os envolvidos no desenvolvimento do projeto SDD-UFG devem seguir os padrões estabelecidos e dispostos neste documento, de modo que o projeto e todos os seus processos estejam, de fato, sob o controle da GC.</w:t>
      </w:r>
    </w:p>
    <w:p>
      <w:pPr>
        <w:pStyle w:val="style0"/>
        <w:spacing w:after="120" w:before="0"/>
        <w:contextualSpacing w:val="false"/>
      </w:pPr>
      <w:r>
        <w:rPr/>
      </w:r>
    </w:p>
    <w:p>
      <w:pPr>
        <w:pStyle w:val="style0"/>
        <w:spacing w:after="60" w:before="120"/>
        <w:contextualSpacing w:val="false"/>
      </w:pPr>
      <w:bookmarkStart w:id="12" w:name="h.1t3h5sf"/>
      <w:bookmarkEnd w:id="12"/>
      <w:r>
        <w:rPr>
          <w:rFonts w:ascii="Arial" w:cs="Arial" w:eastAsia="Arial" w:hAnsi="Arial"/>
          <w:b/>
          <w:sz w:val="24"/>
          <w:szCs w:val="24"/>
        </w:rPr>
        <w:t>2.2.Ferramentas, Ambiente e Infra-estrutura</w:t>
      </w:r>
    </w:p>
    <w:p>
      <w:pPr>
        <w:pStyle w:val="style0"/>
        <w:ind w:hanging="0" w:left="1" w:right="0"/>
        <w:jc w:val="both"/>
      </w:pPr>
      <w:r>
        <w:rPr>
          <w:rFonts w:ascii="Arial" w:cs="Arial" w:eastAsia="Arial" w:hAnsi="Arial"/>
          <w:sz w:val="24"/>
          <w:szCs w:val="24"/>
        </w:rPr>
        <w:tab/>
        <w:t>Para que a Gerência de Configuração, como um todo, possua resultados satisfatórios, a equipe utilizará a ferramenta GitHub.</w:t>
      </w:r>
    </w:p>
    <w:p>
      <w:pPr>
        <w:pStyle w:val="style0"/>
        <w:spacing w:after="120" w:before="0"/>
        <w:contextualSpacing w:val="false"/>
        <w:jc w:val="both"/>
      </w:pPr>
      <w:r>
        <w:rPr/>
      </w:r>
    </w:p>
    <w:p>
      <w:pPr>
        <w:pStyle w:val="style0"/>
        <w:spacing w:after="120" w:before="0"/>
        <w:contextualSpacing w:val="false"/>
        <w:jc w:val="both"/>
      </w:pPr>
      <w:r>
        <w:rPr/>
      </w:r>
    </w:p>
    <w:p>
      <w:pPr>
        <w:pStyle w:val="style0"/>
        <w:numPr>
          <w:ilvl w:val="0"/>
          <w:numId w:val="2"/>
        </w:numPr>
        <w:spacing w:after="60" w:before="120"/>
        <w:ind w:hanging="359" w:left="0" w:right="0"/>
        <w:contextualSpacing/>
      </w:pPr>
      <w:bookmarkStart w:id="13" w:name="h.4d34og8"/>
      <w:bookmarkEnd w:id="13"/>
      <w:r>
        <w:rPr>
          <w:rFonts w:ascii="Arial" w:cs="Arial" w:eastAsia="Arial" w:hAnsi="Arial"/>
          <w:b/>
          <w:sz w:val="24"/>
          <w:szCs w:val="24"/>
        </w:rPr>
        <w:t>GERENCIAMENTO DA CONFIGURAÇÃO</w:t>
      </w:r>
    </w:p>
    <w:p>
      <w:pPr>
        <w:pStyle w:val="style0"/>
        <w:spacing w:after="60" w:before="120"/>
        <w:contextualSpacing w:val="false"/>
      </w:pPr>
      <w:bookmarkStart w:id="14" w:name="h.i1s1offxljfu"/>
      <w:bookmarkStart w:id="15" w:name="h.i1s1offxljfu"/>
      <w:bookmarkEnd w:id="15"/>
      <w:r>
        <w:rPr/>
      </w:r>
    </w:p>
    <w:p>
      <w:pPr>
        <w:pStyle w:val="style0"/>
        <w:spacing w:after="60" w:before="120"/>
        <w:contextualSpacing w:val="false"/>
      </w:pPr>
      <w:bookmarkStart w:id="16" w:name="h.2s8eyo1"/>
      <w:bookmarkEnd w:id="16"/>
      <w:r>
        <w:rPr>
          <w:rFonts w:ascii="Arial" w:cs="Arial" w:eastAsia="Arial" w:hAnsi="Arial"/>
          <w:b/>
          <w:sz w:val="24"/>
          <w:szCs w:val="24"/>
        </w:rPr>
        <w:t>3.1. Identificação do repositório da configuração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Todos os artefatos resultantes durante a execução do projeto de construção e desenvolvimento do SDD-UFG serão armazenados em nuvem (github.com) no Github, no endereço: </w:t>
      </w:r>
      <w:hyperlink r:id="rId2">
        <w:r>
          <w:rPr>
            <w:rStyle w:val="style18"/>
            <w:rStyle w:val="style18"/>
            <w:rFonts w:ascii="Arial" w:cs="Arial" w:eastAsia="Arial" w:hAnsi="Arial"/>
            <w:color w:val="1155CC"/>
            <w:sz w:val="24"/>
            <w:szCs w:val="24"/>
          </w:rPr>
          <w:t>https://github.com/weslleyma/sdd-ufg</w:t>
        </w:r>
      </w:hyperlink>
      <w:r>
        <w:rPr>
          <w:rFonts w:ascii="Arial" w:cs="Arial" w:eastAsia="Arial" w:hAnsi="Arial"/>
          <w:sz w:val="24"/>
          <w:szCs w:val="24"/>
        </w:rPr>
        <w:t xml:space="preserve"> sendo utilizado por toda a equipe do projeto e gerenciado pelo gerente de configuração.</w:t>
      </w:r>
    </w:p>
    <w:p>
      <w:pPr>
        <w:pStyle w:val="style0"/>
        <w:ind w:hanging="0" w:left="-30" w:right="0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17" w:name="h.2s8eyo11"/>
      <w:bookmarkEnd w:id="17"/>
      <w:r>
        <w:rPr>
          <w:rFonts w:ascii="Arial" w:cs="Arial" w:eastAsia="Arial" w:hAnsi="Arial"/>
          <w:b/>
          <w:sz w:val="24"/>
          <w:szCs w:val="24"/>
        </w:rPr>
        <w:t>3.2. Critérios para escolha dos itens de configuração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A Tabela 1 mostra os produtos de trabalho que são considerados itens de configuração (IC) no SDD-UFG. Os critérios utilizados para seleção desses IC para compor a configuração do projeto são: 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1) importância para o planejamento do projeto; 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2) importância para o controle de mudanças no projeto; 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3) necessidade de retorno a estados anteriores do produto de trabalho; </w:t>
      </w:r>
    </w:p>
    <w:p>
      <w:pPr>
        <w:pStyle w:val="style0"/>
        <w:ind w:firstLine="720" w:left="-30" w:right="0"/>
        <w:jc w:val="both"/>
      </w:pPr>
      <w:r>
        <w:rPr>
          <w:rFonts w:ascii="Arial" w:cs="Arial" w:eastAsia="Arial" w:hAnsi="Arial"/>
          <w:sz w:val="24"/>
          <w:szCs w:val="24"/>
        </w:rPr>
        <w:t>4) necessidade de entrega do produto de trabalho como resultado do projeto.</w:t>
      </w:r>
    </w:p>
    <w:p>
      <w:pPr>
        <w:pStyle w:val="style0"/>
        <w:ind w:firstLine="720" w:left="-30" w:right="0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18" w:name="h.jj593t99j4kv"/>
      <w:bookmarkEnd w:id="18"/>
      <w:r>
        <w:rPr>
          <w:rFonts w:ascii="Arial" w:cs="Arial" w:eastAsia="Arial" w:hAnsi="Arial"/>
          <w:b/>
          <w:sz w:val="24"/>
          <w:szCs w:val="24"/>
        </w:rPr>
        <w:t>3.3. Itens de configuração</w:t>
      </w:r>
    </w:p>
    <w:p>
      <w:pPr>
        <w:pStyle w:val="style0"/>
        <w:spacing w:after="60" w:before="120"/>
        <w:contextualSpacing w:val="false"/>
      </w:pPr>
      <w:bookmarkStart w:id="19" w:name="h.l5gda6318das"/>
      <w:bookmarkStart w:id="20" w:name="h.l5gda6318das"/>
      <w:bookmarkEnd w:id="20"/>
      <w:r>
        <w:rPr/>
      </w:r>
    </w:p>
    <w:tbl>
      <w:tblPr>
        <w:jc w:val="left"/>
        <w:tblInd w:type="dxa" w:w="-46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60"/>
          <w:bottom w:type="dxa" w:w="100"/>
          <w:right w:type="dxa" w:w="100"/>
        </w:tblCellMar>
      </w:tblPr>
      <w:tblGrid>
        <w:gridCol w:w="1109"/>
        <w:gridCol w:w="2114"/>
        <w:gridCol w:w="1470"/>
        <w:gridCol w:w="3282"/>
        <w:gridCol w:w="1370"/>
      </w:tblGrid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IC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Tipo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Controle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ppr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Apresentar o planejamento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gcs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Configuração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da gerência de configuração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eor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Especificação de Objetivos e Requisitos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das informações necessárias sobre as requisições do cliente e que o software deve atender.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ris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Riscos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de riscos e sua probabilidade de ocorrência, impacto e ação.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req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Requisitos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Texto, PDF ou JPG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Registro dos Requisitos do Projeto, incluindo: Critérios de aceitação, Dados de casos de uso, Especificação de casos de uso, Histórias de usuário, Protótipos e Documentação de Requisitos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pte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Teste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Teste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cat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Cronograma de Atividades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Cronograma de Atividades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rhm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Recursos Humanos e Materiais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Recursos Humanos e Materiais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eap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EAP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Texto,  PDF ou JPG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EAP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ppj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Políticas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Políticas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arq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Arquitetura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Texto, PDF ou JPG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Documentação da arquitetura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Estimativas Back-end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Back-end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mec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Gerência de configuração (GCO)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Gerência de Configuração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Gerência de Projetos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Gerência de Projetos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Teste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Teste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mon</w:t>
            </w:r>
          </w:p>
        </w:tc>
        <w:tc>
          <w:tcPr>
            <w:tcW w:type="dxa" w:w="2114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Monitoramento</w:t>
            </w:r>
          </w:p>
        </w:tc>
        <w:tc>
          <w:tcPr>
            <w:tcW w:type="dxa" w:w="14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o monitoramento do repositório</w:t>
            </w:r>
          </w:p>
        </w:tc>
        <w:tc>
          <w:tcPr>
            <w:tcW w:type="dxa" w:w="13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Som</w:t>
            </w:r>
          </w:p>
        </w:tc>
        <w:tc>
          <w:tcPr>
            <w:tcW w:type="dxa" w:w="2114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solicitação de mudança para IC</w:t>
            </w:r>
          </w:p>
        </w:tc>
        <w:tc>
          <w:tcPr>
            <w:tcW w:type="dxa" w:w="14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Texto</w:t>
            </w:r>
          </w:p>
        </w:tc>
        <w:tc>
          <w:tcPr>
            <w:tcW w:type="dxa" w:w="3282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a ser preenchido para solicitar a mudança de IC</w:t>
            </w:r>
          </w:p>
        </w:tc>
        <w:tc>
          <w:tcPr>
            <w:tcW w:type="dxa" w:w="13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 de Execução de Testes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Relatórios e Casos de Testes utilizados no software, registros de não conformidades.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rap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 de Acompanhamento de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o monitoramento periódico da execução do projeto.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ckb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Checklists de Auditoria em Baseline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 ou 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 avaliação física e funcional das baselines do projeto, registrando não conformidades.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ckq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Checklists de Qualidade de Processo e Produto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 ou Doc. 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as revisões de qualidade da execução de processos e produtos, registrando não conformidades.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med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Medição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 coleta de dados de medição e análise dos indicadores do projeto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fob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Código Fonte do Back-end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Códigos Fonte do Back-end do Projeto em Grails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fof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Código Fonte do Front-end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Códigos Fonte do Front-end do Projeto em HTML/CSS e AngularJs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2"/>
                <w:szCs w:val="22"/>
              </w:rPr>
              <w:t>cep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2"/>
                <w:szCs w:val="22"/>
              </w:rPr>
              <w:t>Currículos da Equipe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2"/>
                <w:szCs w:val="22"/>
              </w:rPr>
              <w:t>Texto</w:t>
            </w:r>
          </w:p>
        </w:tc>
        <w:tc>
          <w:tcPr>
            <w:tcW w:type="dxa" w:w="32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2"/>
                <w:szCs w:val="22"/>
              </w:rPr>
              <w:t>Currículos da Equipe do projeto  para demonstrar a competência do pessoal para desempenhar as atividades.</w:t>
            </w:r>
          </w:p>
        </w:tc>
        <w:tc>
          <w:tcPr>
            <w:tcW w:type="dxa" w:w="13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2"/>
                <w:szCs w:val="22"/>
              </w:rPr>
              <w:t>Baixo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cvi</w:t>
            </w:r>
          </w:p>
        </w:tc>
        <w:tc>
          <w:tcPr>
            <w:tcW w:type="dxa" w:w="2114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Comprovante de Vínculo</w:t>
            </w:r>
          </w:p>
        </w:tc>
        <w:tc>
          <w:tcPr>
            <w:tcW w:type="dxa" w:w="14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Text</w:t>
            </w:r>
          </w:p>
        </w:tc>
        <w:tc>
          <w:tcPr>
            <w:tcW w:type="dxa" w:w="3282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Comprovante de vínculo com a instituição onde o produto está sendo desenvolvido para atender o Certics.</w:t>
            </w:r>
          </w:p>
        </w:tc>
        <w:tc>
          <w:tcPr>
            <w:tcW w:type="dxa" w:w="13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Baixo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cen</w:t>
            </w:r>
          </w:p>
        </w:tc>
        <w:tc>
          <w:tcPr>
            <w:tcW w:type="dxa" w:w="2114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Comprovante de endereço</w:t>
            </w:r>
          </w:p>
        </w:tc>
        <w:tc>
          <w:tcPr>
            <w:tcW w:type="dxa" w:w="14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Imagem/Texto</w:t>
            </w:r>
          </w:p>
        </w:tc>
        <w:tc>
          <w:tcPr>
            <w:tcW w:type="dxa" w:w="3282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 xml:space="preserve">Comprovante de endereço dos membros da equipe atestando residência no Brasil para atender o Certics. </w:t>
            </w:r>
          </w:p>
        </w:tc>
        <w:tc>
          <w:tcPr>
            <w:tcW w:type="dxa" w:w="13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" w:hAnsi="ARia"/>
                <w:sz w:val="22"/>
                <w:szCs w:val="22"/>
              </w:rPr>
              <w:t>Baixo</w:t>
            </w:r>
          </w:p>
        </w:tc>
      </w:tr>
      <w:tr>
        <w:trPr>
          <w:cantSplit w:val="false"/>
        </w:trPr>
        <w:tc>
          <w:tcPr>
            <w:tcW w:type="dxa" w:w="11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man</w:t>
            </w:r>
          </w:p>
        </w:tc>
        <w:tc>
          <w:tcPr>
            <w:tcW w:type="dxa" w:w="2114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Manuais</w:t>
            </w:r>
          </w:p>
        </w:tc>
        <w:tc>
          <w:tcPr>
            <w:tcW w:type="dxa" w:w="14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2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Manuais de instalação, configuração e utilização das funcionalidades básicas do software</w:t>
            </w:r>
          </w:p>
        </w:tc>
        <w:tc>
          <w:tcPr>
            <w:tcW w:type="dxa" w:w="137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Baixo</w:t>
            </w:r>
          </w:p>
        </w:tc>
      </w:tr>
    </w:tbl>
    <w:p>
      <w:pPr>
        <w:pStyle w:val="style0"/>
        <w:spacing w:after="60" w:before="120"/>
        <w:contextualSpacing w:val="false"/>
        <w:jc w:val="center"/>
      </w:pPr>
      <w:bookmarkStart w:id="21" w:name="h.2s8eyo12"/>
      <w:bookmarkEnd w:id="21"/>
      <w:r>
        <w:rPr>
          <w:rFonts w:ascii="Arial" w:cs="Arial" w:eastAsia="Arial" w:hAnsi="Arial"/>
        </w:rPr>
        <w:t>Tabela 1</w:t>
      </w:r>
    </w:p>
    <w:p>
      <w:pPr>
        <w:pStyle w:val="style0"/>
        <w:spacing w:after="60" w:before="120"/>
        <w:contextualSpacing w:val="false"/>
        <w:jc w:val="both"/>
      </w:pPr>
      <w:bookmarkStart w:id="22" w:name="h.81qgqq81ops"/>
      <w:bookmarkStart w:id="23" w:name="h.81qgqq81ops"/>
      <w:bookmarkEnd w:id="23"/>
      <w:r>
        <w:rPr/>
      </w:r>
    </w:p>
    <w:p>
      <w:pPr>
        <w:pStyle w:val="style0"/>
        <w:spacing w:after="60" w:before="120"/>
        <w:contextualSpacing w:val="false"/>
      </w:pPr>
      <w:bookmarkStart w:id="24" w:name="h.26in1rg"/>
      <w:bookmarkEnd w:id="24"/>
      <w:r>
        <w:rPr>
          <w:rFonts w:ascii="Arial" w:cs="Arial" w:eastAsia="Arial" w:hAnsi="Arial"/>
          <w:b/>
          <w:sz w:val="24"/>
          <w:szCs w:val="24"/>
        </w:rPr>
        <w:t>3.4. Controle de Mudança em Baseline</w:t>
      </w:r>
    </w:p>
    <w:p>
      <w:pPr>
        <w:pStyle w:val="style0"/>
        <w:ind w:firstLine="719" w:left="1" w:right="0"/>
        <w:jc w:val="both"/>
      </w:pPr>
      <w:r>
        <w:rPr>
          <w:rFonts w:ascii="Arial" w:cs="Arial" w:eastAsia="Arial" w:hAnsi="Arial"/>
          <w:sz w:val="24"/>
          <w:szCs w:val="24"/>
        </w:rPr>
        <w:t>Uma vez aprovados e colocados em baseline, os IC ficam sujeitos ao controle de mudança da GC, de acordo com seu respectivo nível de controle (vide campo “Controle” na Tabela 1), que pode ser:</w:t>
      </w:r>
    </w:p>
    <w:p>
      <w:pPr>
        <w:pStyle w:val="style0"/>
        <w:ind w:hanging="0" w:left="721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Alto</w:t>
      </w:r>
      <w:r>
        <w:rPr>
          <w:rFonts w:ascii="Arial" w:cs="Arial" w:eastAsia="Arial" w:hAnsi="Arial"/>
          <w:sz w:val="24"/>
          <w:szCs w:val="24"/>
        </w:rPr>
        <w:t>: O IC só é alterado após aprovação de solicitação de mudança pelo Gerente de Projetos e pelo Gerente de Configuração. O gerente de configuração deve analisar a solicitação de mudança e retornar seu impacto na configuração.</w:t>
      </w:r>
    </w:p>
    <w:p>
      <w:pPr>
        <w:pStyle w:val="style0"/>
        <w:ind w:hanging="0" w:left="721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Médio</w:t>
      </w:r>
      <w:r>
        <w:rPr>
          <w:rFonts w:ascii="Arial" w:cs="Arial" w:eastAsia="Arial" w:hAnsi="Arial"/>
          <w:sz w:val="24"/>
          <w:szCs w:val="24"/>
        </w:rPr>
        <w:t xml:space="preserve">: O IC só é alterado após aprovação de solicitação de mudança pelo Gerente de Configuração. </w:t>
      </w:r>
    </w:p>
    <w:p>
      <w:pPr>
        <w:pStyle w:val="style0"/>
        <w:ind w:hanging="0" w:left="721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Baixo</w:t>
      </w:r>
      <w:r>
        <w:rPr>
          <w:rFonts w:ascii="Arial" w:cs="Arial" w:eastAsia="Arial" w:hAnsi="Arial"/>
          <w:sz w:val="24"/>
          <w:szCs w:val="24"/>
        </w:rPr>
        <w:t>: O IC só é alterado após comunicação de solicitação de mudança ao Gerente de Configuração. A comunicação deve registrar claramente a modificação que será efetuada e o respectivo impacto na configuração.</w:t>
      </w:r>
    </w:p>
    <w:p>
      <w:pPr>
        <w:pStyle w:val="style0"/>
        <w:ind w:firstLine="719" w:left="1" w:right="0"/>
        <w:jc w:val="both"/>
      </w:pPr>
      <w:r>
        <w:rPr/>
      </w:r>
    </w:p>
    <w:p>
      <w:pPr>
        <w:pStyle w:val="style0"/>
        <w:ind w:firstLine="719" w:left="1" w:right="0"/>
        <w:jc w:val="both"/>
      </w:pPr>
      <w:r>
        <w:rPr>
          <w:rFonts w:ascii="Arial" w:cs="Arial" w:eastAsia="Arial" w:hAnsi="Arial"/>
          <w:sz w:val="24"/>
          <w:szCs w:val="24"/>
        </w:rPr>
        <w:t>Mudanças em IC que envolvam exclusivamente correções de ortografia e gramática no texto do documento devem ser tratadas com nível de controle baixo, independentemente do nível especificado para o documento no campo “Controle” da Tabela 1. A auditoria de baseline deve verificar que a alteração realizada envolveu, de fato, apenas correções ortográficas e gramaticais.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60" w:before="120"/>
        <w:contextualSpacing w:val="false"/>
      </w:pPr>
      <w:bookmarkStart w:id="25" w:name="h.1ksv4uv"/>
      <w:bookmarkEnd w:id="25"/>
      <w:r>
        <w:rPr>
          <w:rFonts w:ascii="Arial" w:cs="Arial" w:eastAsia="Arial" w:hAnsi="Arial"/>
          <w:b/>
          <w:sz w:val="24"/>
          <w:szCs w:val="24"/>
        </w:rPr>
        <w:t>3.5. Nomenclatura IC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Cada documento correspondente a um IC e deve possuir um nome único. A formação do nome do documento deverá seguir o padrão abaixo:</w:t>
      </w:r>
    </w:p>
    <w:p>
      <w:pPr>
        <w:pStyle w:val="style0"/>
        <w:jc w:val="center"/>
      </w:pPr>
      <w:r>
        <w:rPr>
          <w:rFonts w:ascii="Arial" w:cs="Arial" w:eastAsia="Arial" w:hAnsi="Arial"/>
          <w:b/>
          <w:sz w:val="24"/>
          <w:szCs w:val="24"/>
        </w:rPr>
        <w:t>&lt;item_de_configuração&gt;_&lt;versao&gt;_&lt;projeto&gt;</w:t>
      </w:r>
    </w:p>
    <w:p>
      <w:pPr>
        <w:pStyle w:val="style0"/>
        <w:ind w:firstLine="720" w:left="0" w:right="0"/>
      </w:pPr>
      <w:r>
        <w:rPr>
          <w:rFonts w:ascii="Arial" w:cs="Arial" w:eastAsia="Arial" w:hAnsi="Arial"/>
          <w:sz w:val="24"/>
          <w:szCs w:val="24"/>
        </w:rPr>
        <w:t>Onde:</w:t>
      </w:r>
    </w:p>
    <w:p>
      <w:pPr>
        <w:pStyle w:val="style0"/>
        <w:ind w:firstLine="720" w:left="0" w:right="0"/>
      </w:pPr>
      <w:r>
        <w:rPr>
          <w:rFonts w:ascii="Arial" w:cs="Arial" w:eastAsia="Arial" w:hAnsi="Arial"/>
          <w:b/>
          <w:sz w:val="24"/>
          <w:szCs w:val="24"/>
        </w:rPr>
        <w:t>&lt;item_de_configuração&gt;</w:t>
      </w:r>
      <w:r>
        <w:rPr>
          <w:rFonts w:ascii="Arial" w:cs="Arial" w:eastAsia="Arial" w:hAnsi="Arial"/>
          <w:sz w:val="24"/>
          <w:szCs w:val="24"/>
        </w:rPr>
        <w:t>: Nome do item de configuração descrito na coluna “Item de Configuração” das tabelas 1 e 2 deste documento.</w:t>
      </w:r>
    </w:p>
    <w:p>
      <w:pPr>
        <w:pStyle w:val="style0"/>
        <w:ind w:firstLine="720" w:left="0" w:right="0"/>
      </w:pPr>
      <w:r>
        <w:rPr>
          <w:rFonts w:ascii="Arial" w:cs="Arial" w:eastAsia="Arial" w:hAnsi="Arial"/>
          <w:b/>
          <w:sz w:val="24"/>
          <w:szCs w:val="24"/>
        </w:rPr>
        <w:t>&lt;versao&gt;</w:t>
      </w:r>
      <w:r>
        <w:rPr>
          <w:rFonts w:ascii="Arial" w:cs="Arial" w:eastAsia="Arial" w:hAnsi="Arial"/>
          <w:sz w:val="24"/>
          <w:szCs w:val="24"/>
        </w:rPr>
        <w:t>: Numero da versão atual do artefato.</w:t>
      </w:r>
    </w:p>
    <w:p>
      <w:pPr>
        <w:pStyle w:val="style0"/>
        <w:ind w:firstLine="720" w:left="0" w:right="0"/>
      </w:pPr>
      <w:r>
        <w:rPr>
          <w:rFonts w:ascii="Arial" w:cs="Arial" w:eastAsia="Arial" w:hAnsi="Arial"/>
          <w:b/>
          <w:sz w:val="24"/>
          <w:szCs w:val="24"/>
        </w:rPr>
        <w:t>&lt;projeto&gt;</w:t>
      </w:r>
      <w:r>
        <w:rPr>
          <w:rFonts w:ascii="Arial" w:cs="Arial" w:eastAsia="Arial" w:hAnsi="Arial"/>
          <w:sz w:val="24"/>
          <w:szCs w:val="24"/>
        </w:rPr>
        <w:t>: Sigla do nome do projeto.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</w:pPr>
      <w:r>
        <w:rPr>
          <w:rFonts w:ascii="Arial" w:cs="Arial" w:eastAsia="Arial" w:hAnsi="Arial"/>
          <w:sz w:val="24"/>
          <w:szCs w:val="24"/>
        </w:rPr>
        <w:t>Exemplo: plano_de_projeto_1.0.0_SDD-UFG.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Todo IC terá como primeira versão 1.0.0. Quando o IC for alterado para correções, o digito mais a direita deverá ser incrementado.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Exemplo: </w:t>
      </w:r>
    </w:p>
    <w:p>
      <w:pPr>
        <w:pStyle w:val="style0"/>
        <w:numPr>
          <w:ilvl w:val="0"/>
          <w:numId w:val="1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Antes da alteração: plano_de_projeto_1.0.0_SDD-UFG</w:t>
      </w:r>
    </w:p>
    <w:p>
      <w:pPr>
        <w:pStyle w:val="style0"/>
        <w:numPr>
          <w:ilvl w:val="0"/>
          <w:numId w:val="1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Depois da alteração: plano_de_projeto_1.0.1_SDD-UFG</w:t>
      </w:r>
    </w:p>
    <w:p>
      <w:pPr>
        <w:pStyle w:val="style0"/>
        <w:jc w:val="both"/>
      </w:pPr>
      <w:r>
        <w:rPr>
          <w:rFonts w:ascii="Arial" w:cs="Arial" w:eastAsia="Arial" w:hAnsi="Arial"/>
          <w:sz w:val="24"/>
          <w:szCs w:val="24"/>
        </w:rPr>
        <w:tab/>
        <w:t>Quando o IC for alterado de modo que seu conteúdo reflita algo novo no projeto, o segundo dígito deverá ser incrementado.</w:t>
      </w:r>
    </w:p>
    <w:p>
      <w:pPr>
        <w:pStyle w:val="style0"/>
        <w:jc w:val="both"/>
      </w:pPr>
      <w:r>
        <w:rPr>
          <w:rFonts w:ascii="Arial" w:cs="Arial" w:eastAsia="Arial" w:hAnsi="Arial"/>
          <w:sz w:val="24"/>
          <w:szCs w:val="24"/>
        </w:rPr>
        <w:tab/>
        <w:t xml:space="preserve">Exemplo: </w:t>
      </w:r>
    </w:p>
    <w:p>
      <w:pPr>
        <w:pStyle w:val="style0"/>
        <w:numPr>
          <w:ilvl w:val="0"/>
          <w:numId w:val="1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Antes da alteração: plano_de_projeto_1.0.0_SDD-UFG</w:t>
      </w:r>
    </w:p>
    <w:p>
      <w:pPr>
        <w:pStyle w:val="style0"/>
        <w:numPr>
          <w:ilvl w:val="0"/>
          <w:numId w:val="1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Depois da alteração: plano_de_projeto_1.1.0_SDD-UFG</w:t>
      </w:r>
    </w:p>
    <w:p>
      <w:pPr>
        <w:pStyle w:val="style0"/>
        <w:spacing w:after="0" w:before="0"/>
        <w:contextualSpacing/>
        <w:jc w:val="both"/>
      </w:pPr>
      <w:r>
        <w:rPr/>
      </w:r>
    </w:p>
    <w:p>
      <w:pPr>
        <w:pStyle w:val="style0"/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 xml:space="preserve">Um documento terá seu primeiro dígito incrementado em caso de mudança expressiva e de grande impacto, sendo essa avaliação feita pelos Gerentes de Configuração. A título exemplo, temos as seguintes situações: </w:t>
      </w:r>
    </w:p>
    <w:p>
      <w:pPr>
        <w:pStyle w:val="style0"/>
        <w:numPr>
          <w:ilvl w:val="0"/>
          <w:numId w:val="3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 xml:space="preserve">Alteração do projeto para atender a outra disciplina – implica na entrada de novas pessoas, novos papéis, tarefas e resultados. </w:t>
      </w:r>
    </w:p>
    <w:p>
      <w:pPr>
        <w:pStyle w:val="style0"/>
        <w:numPr>
          <w:ilvl w:val="0"/>
          <w:numId w:val="3"/>
        </w:numPr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Alteração do repositório dos artefatos – mudança na ferramenta utilizada para armazenar documentos e/ou códigos fonte.</w:t>
      </w:r>
    </w:p>
    <w:p>
      <w:pPr>
        <w:pStyle w:val="style0"/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Ocorrendo a situação descrita, como exemplo da nova versão do documento cita-se:</w:t>
      </w:r>
    </w:p>
    <w:p>
      <w:pPr>
        <w:pStyle w:val="style0"/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ab/>
        <w:t>Doc antigo:</w:t>
        <w:tab/>
        <w:t>plano_de_projeto_1.1.0_SDD-UFG</w:t>
      </w:r>
    </w:p>
    <w:p>
      <w:pPr>
        <w:pStyle w:val="style0"/>
        <w:spacing w:after="0" w:before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ab/>
        <w:t xml:space="preserve">Doc novo: </w:t>
        <w:tab/>
        <w:t>plano_de_projeto_2.0.0_SDD-UFG</w:t>
      </w:r>
    </w:p>
    <w:p>
      <w:pPr>
        <w:pStyle w:val="style0"/>
        <w:spacing w:after="0" w:before="0"/>
        <w:contextualSpacing/>
        <w:jc w:val="both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  <w:spacing w:after="60" w:before="120"/>
        <w:contextualSpacing w:val="false"/>
      </w:pPr>
      <w:bookmarkStart w:id="26" w:name="h.1ksv4uv1"/>
      <w:bookmarkEnd w:id="26"/>
      <w:r>
        <w:rPr>
          <w:rFonts w:ascii="Arial" w:cs="Arial" w:eastAsia="Arial" w:hAnsi="Arial"/>
          <w:b/>
          <w:sz w:val="24"/>
          <w:szCs w:val="24"/>
        </w:rPr>
        <w:t>3.5.1. Nomenclatura de IC de codificação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Os ICs de codificação deverão seguir os padrões determinados pela equipe de desenvolvimento.</w:t>
      </w:r>
    </w:p>
    <w:p>
      <w:pPr>
        <w:pStyle w:val="style0"/>
        <w:ind w:firstLine="720" w:left="0" w:right="0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27" w:name="h.1ksv4uv2"/>
      <w:bookmarkEnd w:id="27"/>
      <w:r>
        <w:rPr>
          <w:rFonts w:ascii="Arial" w:cs="Arial" w:eastAsia="Arial" w:hAnsi="Arial"/>
          <w:b/>
          <w:sz w:val="24"/>
          <w:szCs w:val="24"/>
        </w:rPr>
        <w:t>3.5.2. Nomenclatura de outros artefatos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Itens de configuração criados rotineiramente, como resultados de execução de casos de testes, planilhas de checklist da qualidade e monitoramento do respositório deverão ser nomeado seguindo o padrão mencionado acima, acrescentado um "date-time" (ano, mês, dia, hora e minutos) no final, como mostrado no exemplo abaixo.</w:t>
      </w:r>
    </w:p>
    <w:p>
      <w:pPr>
        <w:pStyle w:val="style0"/>
        <w:jc w:val="center"/>
      </w:pPr>
      <w:r>
        <w:rPr>
          <w:rFonts w:ascii="Arial" w:cs="Arial" w:eastAsia="Arial" w:hAnsi="Arial"/>
          <w:b/>
          <w:sz w:val="24"/>
          <w:szCs w:val="24"/>
        </w:rPr>
        <w:t>&lt;item_de_configuração&gt;_&lt;versao&gt;_&lt;projeto&gt;_&lt;datetime&gt;</w:t>
      </w:r>
    </w:p>
    <w:p>
      <w:pPr>
        <w:pStyle w:val="style0"/>
      </w:pPr>
      <w:r>
        <w:rPr>
          <w:rFonts w:ascii="Arial" w:cs="Arial" w:eastAsia="Arial" w:hAnsi="Arial"/>
          <w:sz w:val="24"/>
          <w:szCs w:val="24"/>
        </w:rPr>
        <w:t>Exemplo: caso_teste_1.0.0_SDD-UFG_201510232010</w:t>
      </w:r>
    </w:p>
    <w:p>
      <w:pPr>
        <w:pStyle w:val="style0"/>
      </w:pPr>
      <w:r>
        <w:rPr>
          <w:rFonts w:ascii="Arial" w:cs="Arial" w:eastAsia="Arial" w:hAnsi="Arial"/>
          <w:sz w:val="24"/>
          <w:szCs w:val="24"/>
        </w:rPr>
        <w:t>Lembrando que a versão somente será incrementada se o template do documento for alterado. Caso o template seja o mesmo, a versão será sempre 1.0.0, nesse caso a diferenciação ocorrerá pela data/hora no nome do documento.</w:t>
      </w:r>
    </w:p>
    <w:p>
      <w:pPr>
        <w:pStyle w:val="style0"/>
      </w:pPr>
      <w:r>
        <w:rPr/>
      </w:r>
    </w:p>
    <w:p>
      <w:pPr>
        <w:pStyle w:val="style0"/>
        <w:spacing w:after="60" w:before="120"/>
        <w:contextualSpacing w:val="false"/>
      </w:pPr>
      <w:bookmarkStart w:id="28" w:name="h.1ksv4uv3"/>
      <w:bookmarkEnd w:id="28"/>
      <w:r>
        <w:rPr>
          <w:rFonts w:ascii="Arial" w:cs="Arial" w:eastAsia="Arial" w:hAnsi="Arial"/>
          <w:b/>
          <w:sz w:val="24"/>
          <w:szCs w:val="24"/>
        </w:rPr>
        <w:t>3.5.3. Criação de Baselines</w:t>
      </w:r>
    </w:p>
    <w:p>
      <w:pPr>
        <w:pStyle w:val="style0"/>
      </w:pPr>
      <w:r>
        <w:rPr>
          <w:rFonts w:ascii="Arial" w:cs="Arial" w:eastAsia="Arial" w:hAnsi="Arial"/>
          <w:sz w:val="24"/>
          <w:szCs w:val="24"/>
        </w:rPr>
        <w:tab/>
        <w:t>As baselines serão criadas de acordo com o cronograma do Plano de Projeto do Sistema de Distribuição de Disciplinas da UFG.</w:t>
      </w:r>
    </w:p>
    <w:p>
      <w:pPr>
        <w:pStyle w:val="style0"/>
      </w:pPr>
      <w:r>
        <w:rPr/>
      </w:r>
    </w:p>
    <w:p>
      <w:pPr>
        <w:pStyle w:val="style0"/>
        <w:spacing w:after="60" w:before="120"/>
        <w:contextualSpacing w:val="false"/>
      </w:pPr>
      <w:bookmarkStart w:id="29" w:name="h.1ksv4uv4"/>
      <w:bookmarkEnd w:id="29"/>
      <w:r>
        <w:rPr>
          <w:rFonts w:ascii="Arial" w:cs="Arial" w:eastAsia="Arial" w:hAnsi="Arial"/>
          <w:b/>
          <w:sz w:val="24"/>
          <w:szCs w:val="24"/>
        </w:rPr>
        <w:t>3.6. Estrutura de Armazenamento os ICs do Projeto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Dentro do repositório do github citado no item 3.1 deste documento, há duas pastas principais, são elas: Code-DD-UFG e Doc-DD-UFG. 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A primeira pasta será utilizada para os códigos fonte do proejto, a segunda para os demais artefatos, como gerenciamento, requisitos, testes, etc.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>Segue abaixo a disposição das pastas no repositório e a respectiva localização dos itens: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46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60"/>
          <w:bottom w:type="dxa" w:w="100"/>
          <w:right w:type="dxa" w:w="100"/>
        </w:tblCellMar>
      </w:tblPr>
      <w:tblGrid>
        <w:gridCol w:w="4679"/>
        <w:gridCol w:w="4677"/>
      </w:tblGrid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Pasta (Diretório)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60"/>
            </w:tcMar>
          </w:tcPr>
          <w:p>
            <w:pPr>
              <w:pStyle w:val="style0"/>
              <w:widowControl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IC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Code-DD-UFG/Back-End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fob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Code-DD-UFG/Front-End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fof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Doc-DD-UFG/Arquitetura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arq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Doc-DD-UFG/Arquitetura/Definições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arq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Doc-DD-UFG/Arquitetura/Protótipos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arq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Doc-DD-UFG/Arquitetura/arquitetura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arq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Doc-DD-UFG/Competências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hAnsi="ARial"/>
                <w:sz w:val="24"/>
                <w:szCs w:val="24"/>
              </w:rPr>
              <w:t>Cep, cvi, cen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Doc-DD-UFG/Configuração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gcs, ckb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Doc-DD-UFG/Configuração/Monitoramento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mon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Doc-DD-UFG/Configuração/Mudanças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som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Doc-DD-UFG/Gerência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ppr, ris, eor, rhm, eap, ppj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Doc-DD-UFG/Gerência/Relatórios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rap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Doc-DD-UFG/Manual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man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Doc-DD-UFG/Medição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med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Doc-DD-UFG/MercadoDeSoftware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/>
              <w:t>(documentos pertinentes a disciplina)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Doc-DD-UFG/Método de Estimativas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meb, mec, mep, met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Doc-DD-UFG/Qualidade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ckq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Doc-DD-UFG/Requisitos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eor, req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Doc-DD-UFG/Templates</w:t>
            </w:r>
          </w:p>
        </w:tc>
        <w:tc>
          <w:tcPr>
            <w:tcW w:type="dxa" w:w="467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ckq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Doc-DD-UFG/Teste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0"/>
              <w:widowControl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ret, pte</w:t>
            </w:r>
          </w:p>
        </w:tc>
      </w:tr>
    </w:tbl>
    <w:p>
      <w:pPr>
        <w:pStyle w:val="style0"/>
        <w:jc w:val="center"/>
      </w:pPr>
      <w:r>
        <w:rPr>
          <w:rFonts w:ascii="Arial" w:cs="Arial" w:eastAsia="Arial" w:hAnsi="Arial"/>
        </w:rPr>
        <w:t>Tabela 2</w:t>
      </w:r>
    </w:p>
    <w:p>
      <w:pPr>
        <w:pStyle w:val="style0"/>
        <w:jc w:val="both"/>
      </w:pPr>
      <w:r>
        <w:rPr/>
      </w:r>
    </w:p>
    <w:p>
      <w:pPr>
        <w:pStyle w:val="style0"/>
        <w:spacing w:after="60" w:before="120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3.7. Criação de Branchs</w:t>
      </w:r>
    </w:p>
    <w:p>
      <w:pPr>
        <w:pStyle w:val="style0"/>
        <w:ind w:firstLine="720" w:left="0" w:right="0"/>
        <w:jc w:val="both"/>
      </w:pPr>
      <w:r>
        <w:rPr>
          <w:rFonts w:ascii="Arial" w:cs="Arial" w:eastAsia="Arial" w:hAnsi="Arial"/>
          <w:sz w:val="24"/>
          <w:szCs w:val="24"/>
        </w:rPr>
        <w:t xml:space="preserve">Dentro do repositório do github citado no item 3.1 deste documento, há duas pastas principais, são elas: Code-DD-UFG e Doc-DD-UFG.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eastAsia="Arial" w:hAnsi="Arial"/>
          <w:sz w:val="24"/>
          <w:szCs w:val="24"/>
        </w:rPr>
        <w:tab/>
        <w:t>Os artefatos que envolver a parte de Code-DD-UFG deverá ser criado um “branch” obrigatoriamente. Ou seja, deve ser criado um “branch” para Arquitetura, outro para Front-End e outro para Back-End.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eastAsia="Arial" w:hAnsi="Arial"/>
          <w:sz w:val="24"/>
          <w:szCs w:val="24"/>
        </w:rPr>
        <w:tab/>
        <w:t>Os  artefatos que envolver a parte de documentação que está em Doc-DD-UFG, pode ser feito “commit” diretamente no “master”, visto que estes artefatos devem ser propagados para todos imediatamente.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bookmarkStart w:id="30" w:name="_GoBack"/>
      <w:bookmarkEnd w:id="30"/>
      <w:r>
        <w:rPr>
          <w:rFonts w:ascii="Arial" w:cs="Arial" w:eastAsia="Arial" w:hAnsi="Arial"/>
          <w:sz w:val="24"/>
          <w:szCs w:val="24"/>
        </w:rPr>
        <w:tab/>
        <w:t>Assim, é da responsabilidade de cada integrante do projeto fazer o “commit” dos artefatos referentes às suas tarefas, independente de ser em “branchs” ou no “master”. Lembrando que, todo “commit” deve ter o id da tarefa programada no “Tuleap” e sua descrição.</w:t>
      </w:r>
    </w:p>
    <w:p>
      <w:pPr>
        <w:pStyle w:val="style0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31" w:name="h.1ksv4uv5"/>
      <w:bookmarkEnd w:id="31"/>
      <w:r>
        <w:rPr>
          <w:rFonts w:ascii="Arial" w:cs="Arial" w:eastAsia="Arial" w:hAnsi="Arial"/>
          <w:b/>
          <w:sz w:val="24"/>
          <w:szCs w:val="24"/>
        </w:rPr>
        <w:t>3.8. Armazenamento de Mídia e Liberação do Projeto</w:t>
      </w:r>
    </w:p>
    <w:p>
      <w:pPr>
        <w:pStyle w:val="style0"/>
        <w:ind w:firstLine="719" w:left="1" w:right="0"/>
        <w:jc w:val="both"/>
      </w:pPr>
      <w:r>
        <w:rPr>
          <w:rFonts w:ascii="Arial" w:cs="Arial" w:eastAsia="Arial" w:hAnsi="Arial"/>
          <w:sz w:val="24"/>
          <w:szCs w:val="24"/>
        </w:rPr>
        <w:t>Todos os itens de gerência de configuração deverão ser mantidos no repositório do projeto no GitHub, já que a ferramenta fornece a opção de recuperar todas as alterações e/ou remoções de arquivos.</w:t>
      </w:r>
    </w:p>
    <w:p>
      <w:pPr>
        <w:pStyle w:val="style0"/>
        <w:ind w:hanging="0" w:left="1" w:right="0"/>
        <w:jc w:val="both"/>
      </w:pPr>
      <w:r>
        <w:rPr/>
      </w:r>
    </w:p>
    <w:p>
      <w:pPr>
        <w:pStyle w:val="style0"/>
        <w:spacing w:after="60" w:before="120"/>
        <w:contextualSpacing w:val="false"/>
      </w:pPr>
      <w:bookmarkStart w:id="32" w:name="h.eybgh4nfj13g"/>
      <w:bookmarkEnd w:id="32"/>
      <w:r>
        <w:rPr>
          <w:rFonts w:ascii="Arial" w:cs="Arial" w:eastAsia="Arial" w:hAnsi="Arial"/>
          <w:b/>
          <w:sz w:val="24"/>
          <w:szCs w:val="24"/>
        </w:rPr>
        <w:t>3.9. Permissões de Acesso</w:t>
      </w:r>
    </w:p>
    <w:p>
      <w:pPr>
        <w:pStyle w:val="style0"/>
        <w:spacing w:after="60" w:before="120"/>
        <w:ind w:firstLine="720" w:left="0" w:right="0"/>
        <w:contextualSpacing w:val="false"/>
      </w:pPr>
      <w:bookmarkStart w:id="33" w:name="h.1ksv4uv6"/>
      <w:bookmarkEnd w:id="33"/>
      <w:r>
        <w:rPr>
          <w:rFonts w:ascii="Arial" w:cs="Arial" w:eastAsia="Arial" w:hAnsi="Arial"/>
          <w:sz w:val="24"/>
          <w:szCs w:val="24"/>
        </w:rPr>
        <w:t>Por se tratar de um projeto acadêmico, toda a equipe do projeto terá acesso as pastas e arquivos, porém apenas os GC poderá criar e modificar baselines.</w:t>
      </w:r>
    </w:p>
    <w:p>
      <w:pPr>
        <w:pStyle w:val="style0"/>
        <w:spacing w:after="60" w:before="120"/>
        <w:ind w:firstLine="720" w:left="0" w:right="0"/>
        <w:contextualSpacing w:val="false"/>
      </w:pPr>
      <w:r>
        <w:rPr/>
      </w:r>
    </w:p>
    <w:p>
      <w:pPr>
        <w:pStyle w:val="style0"/>
        <w:spacing w:after="60" w:before="120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3.10. Monitoramento</w:t>
      </w:r>
    </w:p>
    <w:p>
      <w:pPr>
        <w:pStyle w:val="style0"/>
        <w:spacing w:after="60" w:before="12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A equipe de GCO será responsável por realizar monitoramentos no repositório verificando se o plano está sendo seguindo quanto a nomenclatura dos artefatos, estrutura dos diretórios, utilização correta dos branchs e mensagens de commits adequadas. </w:t>
      </w:r>
    </w:p>
    <w:p>
      <w:pPr>
        <w:pStyle w:val="style0"/>
        <w:spacing w:after="60" w:before="12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A frequência do monitoramento será definida pelos Gerentes de Configuração de acordo com a quantidade de commits realizados. Em determinados momentos do projeto, em razão do elevado número de alterações no repositório, monitoramentos constantes se farão necessários. </w:t>
      </w:r>
    </w:p>
    <w:p>
      <w:pPr>
        <w:pStyle w:val="style0"/>
        <w:spacing w:after="60" w:before="12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As não conformidades serão reportadas ao responsável e sua solução será acompanhada por meio de fórum criado para esse fim no Tuleap. Os commits de correção deverão conter o mesmo ID de tarefa do commit inicial. A critério do Gerente de Configuração responsável pelo monitoramento, commits fora do padrão poderão ser revertidos caso não sejam passíveis de correção. Exemplo: commits sem ID da tarefa ou sem mensagem alguma. </w:t>
      </w:r>
    </w:p>
    <w:p>
      <w:pPr>
        <w:pStyle w:val="style0"/>
        <w:spacing w:after="60" w:before="120"/>
        <w:contextualSpacing w:val="false"/>
      </w:pPr>
      <w:bookmarkStart w:id="34" w:name="h.eybgh4nfj13g1"/>
      <w:bookmarkEnd w:id="34"/>
      <w:r>
        <w:rPr>
          <w:rFonts w:ascii="Arial" w:cs="Arial" w:eastAsia="Arial" w:hAnsi="Arial"/>
          <w:b/>
          <w:sz w:val="24"/>
          <w:szCs w:val="24"/>
        </w:rPr>
        <w:t>3.11. Treinamentos</w:t>
      </w:r>
    </w:p>
    <w:p>
      <w:pPr>
        <w:pStyle w:val="style0"/>
        <w:ind w:hanging="359" w:left="0" w:right="0"/>
        <w:jc w:val="both"/>
      </w:pPr>
      <w:r>
        <w:rPr>
          <w:rFonts w:ascii="Arial" w:cs="Arial" w:eastAsia="Arial" w:hAnsi="Arial"/>
          <w:i/>
          <w:sz w:val="24"/>
          <w:szCs w:val="24"/>
        </w:rPr>
        <w:tab/>
        <w:tab/>
      </w:r>
      <w:r>
        <w:rPr>
          <w:rFonts w:ascii="Arial" w:cs="Arial" w:eastAsia="Arial" w:hAnsi="Arial"/>
          <w:sz w:val="24"/>
          <w:szCs w:val="24"/>
        </w:rPr>
        <w:t xml:space="preserve">Os membros da equipe deverão, caso não possuam familiaridade, estudar tutoriais de utilização da ferramenta GitHub para que todos possuam a habilidade necessária para manter e lidar com as diversas atividades de GC providas pela ferramenta. Adicionalmente, a equipe de GCO poderá esclarecer dúvidas e auxiliar na utilização da ferramenta. </w:t>
      </w:r>
    </w:p>
    <w:sectPr>
      <w:headerReference r:id="rId3" w:type="default"/>
      <w:footerReference r:id="rId4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18022" w:linePitch="288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roman"/>
    <w:pitch w:val="variable"/>
  </w:font>
  <w:font w:name="ARia">
    <w:charset w:val="8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720" w:before="0" w:line="276" w:lineRule="auto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59"/>
      <w:tblBorders>
        <w:top w:color="000001" w:space="0" w:sz="8" w:val="single"/>
        <w:left w:color="000001" w:space="0" w:sz="8" w:val="single"/>
        <w:bottom w:color="000001" w:space="0" w:sz="8" w:val="single"/>
        <w:insideH w:color="000001" w:space="0" w:sz="8" w:val="single"/>
        <w:right w:color="000001" w:space="0" w:sz="8" w:val="single"/>
        <w:insideV w:color="000001" w:space="0" w:sz="8" w:val="single"/>
      </w:tblBorders>
      <w:tblCellMar>
        <w:top w:type="dxa" w:w="0"/>
        <w:left w:type="dxa" w:w="58"/>
        <w:bottom w:type="dxa" w:w="0"/>
        <w:right w:type="dxa" w:w="108"/>
      </w:tblCellMar>
    </w:tblPr>
    <w:tblGrid>
      <w:gridCol w:w="6071"/>
      <w:gridCol w:w="3176"/>
    </w:tblGrid>
    <w:tr>
      <w:trPr>
        <w:trHeight w:hRule="atLeast" w:val="120"/>
        <w:cantSplit w:val="false"/>
      </w:trPr>
      <w:tc>
        <w:tcPr>
          <w:tcW w:type="dxa" w:w="6071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58"/>
          </w:tcMar>
        </w:tcPr>
        <w:p>
          <w:pPr>
            <w:pStyle w:val="style0"/>
          </w:pPr>
          <w:r>
            <w:rPr/>
            <w:t>SDD-UFG</w:t>
          </w:r>
        </w:p>
      </w:tc>
      <w:tc>
        <w:tcPr>
          <w:tcW w:type="dxa" w:w="3176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58"/>
          </w:tcMar>
        </w:tcPr>
        <w:p>
          <w:pPr>
            <w:pStyle w:val="style0"/>
            <w:tabs>
              <w:tab w:leader="none" w:pos="1135" w:val="left"/>
            </w:tabs>
            <w:ind w:hanging="0" w:left="0" w:right="68"/>
          </w:pPr>
          <w:r>
            <w:rPr/>
            <w:t xml:space="preserve">  </w:t>
          </w:r>
          <w:r>
            <w:rPr/>
            <w:t>Versão: 1.3.0</w:t>
          </w:r>
        </w:p>
      </w:tc>
    </w:tr>
    <w:tr>
      <w:trPr>
        <w:trHeight w:hRule="atLeast" w:val="60"/>
        <w:cantSplit w:val="false"/>
      </w:trPr>
      <w:tc>
        <w:tcPr>
          <w:tcW w:type="dxa" w:w="6071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58"/>
          </w:tcMar>
        </w:tcPr>
        <w:p>
          <w:pPr>
            <w:pStyle w:val="style0"/>
          </w:pPr>
          <w:r>
            <w:rPr/>
            <w:t>Plano de Gerência de Configuração</w:t>
          </w:r>
        </w:p>
      </w:tc>
      <w:tc>
        <w:tcPr>
          <w:tcW w:type="dxa" w:w="3176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58"/>
          </w:tcMar>
        </w:tcPr>
        <w:p>
          <w:pPr>
            <w:pStyle w:val="style0"/>
          </w:pPr>
          <w:r>
            <w:rPr/>
            <w:t xml:space="preserve">  </w:t>
          </w:r>
          <w:r>
            <w:rPr/>
            <w:t>Data: 27/11/2015</w:t>
          </w:r>
        </w:p>
      </w:tc>
    </w:tr>
  </w:tbl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1800" w:left="216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2520" w:left="288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4680" w:left="504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6120" w:left="648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6840" w:left="720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7560" w:left="792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1">
      <w:start w:val="1"/>
      <w:numFmt w:val="decimal"/>
      <w:lvlText w:val="%2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2">
      <w:start w:val="1"/>
      <w:numFmt w:val="decimal"/>
      <w:lvlText w:val="%3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3">
      <w:start w:val="1"/>
      <w:numFmt w:val="decimal"/>
      <w:lvlText w:val="%4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4">
      <w:start w:val="1"/>
      <w:numFmt w:val="decimal"/>
      <w:lvlText w:val="%5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5">
      <w:start w:val="1"/>
      <w:numFmt w:val="decimal"/>
      <w:lvlText w:val="%6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6">
      <w:start w:val="1"/>
      <w:numFmt w:val="decimal"/>
      <w:lvlText w:val="%7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7">
      <w:start w:val="1"/>
      <w:numFmt w:val="decimal"/>
      <w:lvlText w:val="%8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8">
      <w:start w:val="1"/>
      <w:numFmt w:val="decimal"/>
      <w:lvlText w:val="%9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widowControl/>
      <w:suppressAutoHyphens w:val="true"/>
      <w:spacing w:line="100" w:lineRule="atLeast"/>
    </w:pPr>
    <w:rPr>
      <w:rFonts w:ascii="Times New Roman" w:cs="Times New Roman" w:eastAsia="Times New Roman" w:hAnsi="Times New Roman"/>
      <w:color w:val="000000"/>
      <w:sz w:val="20"/>
      <w:szCs w:val="20"/>
      <w:lang w:bidi="hi-IN" w:eastAsia="zh-CN" w:val="pt-BR"/>
    </w:rPr>
  </w:style>
  <w:style w:styleId="style1" w:type="paragraph">
    <w:name w:val="Heading 1"/>
    <w:basedOn w:val="style34"/>
    <w:next w:val="style1"/>
    <w:pPr>
      <w:keepNext/>
      <w:keepLines/>
      <w:widowControl w:val="false"/>
      <w:suppressAutoHyphens w:val="true"/>
      <w:spacing w:after="120" w:before="480" w:line="100" w:lineRule="atLeast"/>
      <w:contextualSpacing/>
    </w:pPr>
    <w:rPr>
      <w:b/>
      <w:sz w:val="48"/>
      <w:szCs w:val="48"/>
    </w:rPr>
  </w:style>
  <w:style w:styleId="style2" w:type="paragraph">
    <w:name w:val="Heading 2"/>
    <w:basedOn w:val="style34"/>
    <w:next w:val="style2"/>
    <w:pPr>
      <w:keepNext/>
      <w:keepLines/>
      <w:widowControl w:val="false"/>
      <w:suppressAutoHyphens w:val="true"/>
      <w:spacing w:after="80" w:before="360" w:line="100" w:lineRule="atLeast"/>
      <w:contextualSpacing/>
    </w:pPr>
    <w:rPr>
      <w:b/>
      <w:sz w:val="36"/>
      <w:szCs w:val="36"/>
    </w:rPr>
  </w:style>
  <w:style w:styleId="style3" w:type="paragraph">
    <w:name w:val="Heading 3"/>
    <w:basedOn w:val="style34"/>
    <w:next w:val="style3"/>
    <w:pPr>
      <w:keepNext/>
      <w:keepLines/>
      <w:widowControl w:val="false"/>
      <w:suppressAutoHyphens w:val="true"/>
      <w:spacing w:after="80" w:before="280" w:line="100" w:lineRule="atLeast"/>
      <w:contextualSpacing/>
    </w:pPr>
    <w:rPr>
      <w:b/>
      <w:sz w:val="28"/>
      <w:szCs w:val="28"/>
    </w:rPr>
  </w:style>
  <w:style w:styleId="style4" w:type="paragraph">
    <w:name w:val="Heading 4"/>
    <w:basedOn w:val="style34"/>
    <w:next w:val="style4"/>
    <w:pPr>
      <w:keepNext/>
      <w:keepLines/>
      <w:widowControl w:val="false"/>
      <w:suppressAutoHyphens w:val="true"/>
      <w:spacing w:after="40" w:before="240" w:line="100" w:lineRule="atLeast"/>
      <w:contextualSpacing/>
    </w:pPr>
    <w:rPr>
      <w:b/>
    </w:rPr>
  </w:style>
  <w:style w:styleId="style5" w:type="paragraph">
    <w:name w:val="Heading 5"/>
    <w:basedOn w:val="style34"/>
    <w:next w:val="style5"/>
    <w:pPr>
      <w:keepNext/>
      <w:keepLines/>
      <w:widowControl w:val="false"/>
      <w:suppressAutoHyphens w:val="true"/>
      <w:spacing w:after="40" w:before="220" w:line="100" w:lineRule="atLeast"/>
      <w:contextualSpacing/>
    </w:pPr>
    <w:rPr>
      <w:b/>
      <w:sz w:val="22"/>
      <w:szCs w:val="22"/>
    </w:rPr>
  </w:style>
  <w:style w:styleId="style6" w:type="paragraph">
    <w:name w:val="Heading 6"/>
    <w:basedOn w:val="style34"/>
    <w:next w:val="style6"/>
    <w:pPr>
      <w:keepNext/>
      <w:keepLines/>
      <w:widowControl w:val="false"/>
      <w:suppressAutoHyphens w:val="true"/>
      <w:spacing w:after="40" w:before="200" w:line="100" w:lineRule="atLeast"/>
      <w:contextualSpacing/>
    </w:pPr>
    <w:rPr>
      <w:b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u w:val="none"/>
    </w:rPr>
  </w:style>
  <w:style w:styleId="style17" w:type="character">
    <w:name w:val="ListLabel 2"/>
    <w:next w:val="style17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styleId="style18" w:type="character">
    <w:name w:val="Internet Link"/>
    <w:next w:val="style18"/>
    <w:rPr>
      <w:color w:val="000080"/>
      <w:u w:val="single"/>
      <w:lang w:bidi="pt-BR" w:eastAsia="pt-BR" w:val="pt-BR"/>
    </w:rPr>
  </w:style>
  <w:style w:styleId="style19" w:type="character">
    <w:name w:val="ListLabel 3"/>
    <w:next w:val="style19"/>
    <w:rPr>
      <w:rFonts w:cs="Wingdings"/>
      <w:u w:val="none"/>
    </w:rPr>
  </w:style>
  <w:style w:styleId="style20" w:type="character">
    <w:name w:val="ListLabel 4"/>
    <w:next w:val="style20"/>
    <w:rPr>
      <w:rFonts w:cs="Wingdings 2"/>
      <w:u w:val="none"/>
    </w:rPr>
  </w:style>
  <w:style w:styleId="style21" w:type="character">
    <w:name w:val="ListLabel 5"/>
    <w:next w:val="style21"/>
    <w:rPr>
      <w:rFonts w:cs="OpenSymbol"/>
      <w:u w:val="none"/>
    </w:rPr>
  </w:style>
  <w:style w:styleId="style22" w:type="character">
    <w:name w:val="ListLabel 6"/>
    <w:next w:val="style22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styleId="style23" w:type="character">
    <w:name w:val="ListLabel 7"/>
    <w:next w:val="style23"/>
    <w:rPr>
      <w:rFonts w:cs="Wingdings"/>
      <w:u w:val="none"/>
    </w:rPr>
  </w:style>
  <w:style w:styleId="style24" w:type="character">
    <w:name w:val="ListLabel 8"/>
    <w:next w:val="style24"/>
    <w:rPr>
      <w:rFonts w:cs="Wingdings 2"/>
      <w:u w:val="none"/>
    </w:rPr>
  </w:style>
  <w:style w:styleId="style25" w:type="character">
    <w:name w:val="ListLabel 9"/>
    <w:next w:val="style25"/>
    <w:rPr>
      <w:rFonts w:cs="OpenSymbol"/>
      <w:u w:val="none"/>
    </w:rPr>
  </w:style>
  <w:style w:styleId="style26" w:type="character">
    <w:name w:val="ListLabel 10"/>
    <w:next w:val="style26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styleId="style27" w:type="character">
    <w:name w:val="Bullets"/>
    <w:next w:val="style27"/>
    <w:rPr>
      <w:rFonts w:ascii="OpenSymbol" w:cs="OpenSymbol" w:eastAsia="OpenSymbol" w:hAnsi="OpenSymbol"/>
    </w:rPr>
  </w:style>
  <w:style w:styleId="style28" w:type="character">
    <w:name w:val="ListLabel 11"/>
    <w:next w:val="style28"/>
    <w:rPr>
      <w:rFonts w:cs="Wingdings"/>
      <w:u w:val="none"/>
    </w:rPr>
  </w:style>
  <w:style w:styleId="style29" w:type="character">
    <w:name w:val="ListLabel 12"/>
    <w:next w:val="style29"/>
    <w:rPr>
      <w:rFonts w:cs="Wingdings 2"/>
      <w:u w:val="none"/>
    </w:rPr>
  </w:style>
  <w:style w:styleId="style30" w:type="character">
    <w:name w:val="ListLabel 13"/>
    <w:next w:val="style30"/>
    <w:rPr>
      <w:rFonts w:cs="OpenSymbol"/>
      <w:u w:val="none"/>
    </w:rPr>
  </w:style>
  <w:style w:styleId="style31" w:type="character">
    <w:name w:val="ListLabel 14"/>
    <w:next w:val="style31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styleId="style32" w:type="character">
    <w:name w:val="ListLabel 15"/>
    <w:next w:val="style32"/>
    <w:rPr>
      <w:rFonts w:cs="Symbol"/>
    </w:rPr>
  </w:style>
  <w:style w:styleId="style33" w:type="character">
    <w:name w:val="ListLabel 16"/>
    <w:next w:val="style33"/>
    <w:rPr>
      <w:rFonts w:cs="OpenSymbol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 w:line="288" w:lineRule="auto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Devanagar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Devanagari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0" w:type="paragraph">
    <w:name w:val="LO-normal"/>
    <w:next w:val="style40"/>
    <w:pPr>
      <w:keepNext/>
      <w:widowControl/>
      <w:suppressAutoHyphens w:val="true"/>
      <w:spacing w:line="100" w:lineRule="atLeast"/>
    </w:pPr>
    <w:rPr>
      <w:rFonts w:ascii="Times New Roman" w:cs="Times New Roman" w:eastAsia="Times New Roman" w:hAnsi="Times New Roman"/>
      <w:color w:val="000000"/>
      <w:sz w:val="20"/>
      <w:szCs w:val="20"/>
      <w:lang w:bidi="hi-IN" w:eastAsia="zh-CN" w:val="pt-BR"/>
    </w:rPr>
  </w:style>
  <w:style w:styleId="style41" w:type="paragraph">
    <w:name w:val="Title"/>
    <w:basedOn w:val="style40"/>
    <w:next w:val="style41"/>
    <w:pPr>
      <w:keepLines/>
      <w:spacing w:after="120" w:before="480"/>
      <w:contextualSpacing/>
    </w:pPr>
    <w:rPr>
      <w:b/>
      <w:sz w:val="72"/>
      <w:szCs w:val="72"/>
    </w:rPr>
  </w:style>
  <w:style w:styleId="style42" w:type="paragraph">
    <w:name w:val="Subtitle"/>
    <w:basedOn w:val="style40"/>
    <w:next w:val="style42"/>
    <w:pPr>
      <w:keepLines/>
      <w:spacing w:after="80" w:before="36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styleId="style43" w:type="paragraph">
    <w:name w:val="Header"/>
    <w:basedOn w:val="style0"/>
    <w:next w:val="style43"/>
    <w:pPr/>
    <w:rPr/>
  </w:style>
  <w:style w:styleId="style44" w:type="paragraph">
    <w:name w:val="Footer"/>
    <w:basedOn w:val="style0"/>
    <w:next w:val="style44"/>
    <w:pPr/>
    <w:rPr/>
  </w:style>
  <w:style w:styleId="style45" w:type="paragraph">
    <w:name w:val="Table Contents"/>
    <w:basedOn w:val="style0"/>
    <w:next w:val="style45"/>
    <w:pPr/>
    <w:rPr/>
  </w:style>
  <w:style w:styleId="style46" w:type="paragraph">
    <w:name w:val="Table Heading"/>
    <w:basedOn w:val="style45"/>
    <w:next w:val="style4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slleyma/sdd-uf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2015-11-18T23:28:00.00Z</dcterms:created>
  <dc:language>en</dc:language>
  <cp:lastModifiedBy>Weslley Araujo</cp:lastModifiedBy>
  <dcterms:modified xsi:type="dcterms:W3CDTF">2015-11-18T23:46:00.00Z</dcterms:modified>
  <cp:revision>7</cp:revision>
</cp:coreProperties>
</file>