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240" w:line="256" w:lineRule="auto"/>
        <w:contextualSpacing w:val="false"/>
        <w:jc w:val="center"/>
      </w:pPr>
      <w:r>
        <w:rPr/>
      </w:r>
    </w:p>
    <w:p>
      <w:pPr>
        <w:pStyle w:val="style1"/>
        <w:spacing w:after="0" w:before="240" w:line="256" w:lineRule="auto"/>
        <w:contextualSpacing w:val="false"/>
        <w:jc w:val="center"/>
      </w:pPr>
      <w:r>
        <w:rPr/>
      </w:r>
    </w:p>
    <w:p>
      <w:pPr>
        <w:pStyle w:val="style1"/>
        <w:spacing w:after="0" w:before="240" w:line="256" w:lineRule="auto"/>
        <w:contextualSpacing w:val="false"/>
        <w:jc w:val="center"/>
      </w:pPr>
      <w:r>
        <w:rPr/>
      </w:r>
    </w:p>
    <w:p>
      <w:pPr>
        <w:pStyle w:val="style1"/>
        <w:spacing w:after="0" w:before="240" w:line="256" w:lineRule="auto"/>
        <w:contextualSpacing w:val="false"/>
        <w:jc w:val="center"/>
      </w:pPr>
      <w:r>
        <w:rPr>
          <w:rFonts w:ascii="Times New Roman" w:cs="Times New Roman" w:eastAsia="Times New Roman" w:hAnsi="Times New Roman"/>
          <w:sz w:val="80"/>
          <w:szCs w:val="80"/>
        </w:rPr>
        <w:t>Plano de Medição - Projeto SDD (Sistema de Distribuição de Disciplinas)</w:t>
      </w:r>
    </w:p>
    <w:p>
      <w:pPr>
        <w:pStyle w:val="style0"/>
        <w:spacing w:after="0" w:before="0"/>
        <w:ind w:firstLine="720" w:left="4320" w:right="0"/>
        <w:contextualSpacing w:val="false"/>
      </w:pPr>
      <w:r>
        <w:rPr/>
      </w:r>
    </w:p>
    <w:p>
      <w:pPr>
        <w:pStyle w:val="style0"/>
        <w:spacing w:after="0" w:before="0"/>
        <w:ind w:firstLine="720" w:left="4320" w:right="0"/>
        <w:contextualSpacing w:val="false"/>
      </w:pPr>
      <w:r>
        <w:rPr>
          <w:rFonts w:ascii="Times New Roman" w:cs="Times New Roman" w:eastAsia="Times New Roman" w:hAnsi="Times New Roman"/>
          <w:b/>
          <w:sz w:val="36"/>
          <w:szCs w:val="36"/>
        </w:rPr>
        <w:t>versão 1.0.0</w:t>
      </w:r>
    </w:p>
    <w:p>
      <w:pPr>
        <w:pStyle w:val="style0"/>
        <w:spacing w:after="0" w:before="0"/>
        <w:ind w:firstLine="720" w:left="4320" w:right="0"/>
        <w:contextualSpacing w:val="false"/>
      </w:pPr>
      <w:r>
        <w:rPr/>
      </w:r>
    </w:p>
    <w:p>
      <w:pPr>
        <w:pStyle w:val="style0"/>
        <w:spacing w:after="0" w:before="0"/>
        <w:ind w:firstLine="720" w:left="4320" w:right="0"/>
        <w:contextualSpacing w:val="false"/>
      </w:pPr>
      <w:r>
        <w:rPr/>
      </w:r>
    </w:p>
    <w:p>
      <w:pPr>
        <w:pStyle w:val="style0"/>
        <w:spacing w:after="0" w:before="0"/>
        <w:ind w:firstLine="720" w:left="4320" w:right="0"/>
        <w:contextualSpacing w:val="false"/>
      </w:pPr>
      <w:r>
        <w:rPr/>
      </w:r>
    </w:p>
    <w:p>
      <w:pPr>
        <w:pStyle w:val="style0"/>
        <w:spacing w:after="0" w:before="0"/>
        <w:ind w:firstLine="720" w:left="4320" w:right="0"/>
        <w:contextualSpacing w:val="false"/>
      </w:pPr>
      <w:r>
        <w:rPr/>
      </w:r>
    </w:p>
    <w:p>
      <w:pPr>
        <w:pStyle w:val="style0"/>
        <w:spacing w:after="0" w:before="0"/>
        <w:ind w:firstLine="720" w:left="4320" w:right="0"/>
        <w:contextualSpacing w:val="false"/>
      </w:pPr>
      <w:r>
        <w:rPr/>
      </w:r>
    </w:p>
    <w:p>
      <w:pPr>
        <w:pStyle w:val="style0"/>
        <w:spacing w:after="0" w:before="0"/>
        <w:ind w:firstLine="720" w:left="4320" w:right="0"/>
        <w:contextualSpacing w:val="false"/>
      </w:pPr>
      <w:r>
        <w:rPr/>
      </w:r>
    </w:p>
    <w:p>
      <w:pPr>
        <w:pStyle w:val="style0"/>
        <w:spacing w:after="0" w:before="0"/>
        <w:ind w:firstLine="720" w:left="4320" w:right="0"/>
        <w:contextualSpacing w:val="false"/>
      </w:pPr>
      <w:r>
        <w:rPr/>
      </w:r>
    </w:p>
    <w:p>
      <w:pPr>
        <w:pStyle w:val="style0"/>
        <w:spacing w:after="0" w:before="0"/>
        <w:ind w:firstLine="720" w:left="4320" w:right="0"/>
        <w:contextualSpacing w:val="false"/>
      </w:pPr>
      <w:r>
        <w:rPr/>
      </w:r>
    </w:p>
    <w:p>
      <w:pPr>
        <w:pStyle w:val="style0"/>
        <w:spacing w:after="0" w:before="0"/>
        <w:ind w:firstLine="720" w:left="4320" w:right="0"/>
        <w:contextualSpacing w:val="false"/>
      </w:pPr>
      <w:r>
        <w:rPr/>
      </w:r>
    </w:p>
    <w:p>
      <w:pPr>
        <w:pStyle w:val="style0"/>
        <w:spacing w:after="0" w:before="0"/>
        <w:ind w:firstLine="720" w:left="4320" w:right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  <w:jc w:val="center"/>
      </w:pPr>
      <w:r>
        <w:rPr>
          <w:rFonts w:ascii="Times New Roman" w:cs="Times New Roman" w:eastAsia="Times New Roman" w:hAnsi="Times New Roman"/>
          <w:b/>
        </w:rPr>
        <w:t>Goiânia, 20 de outubro de 2015</w:t>
      </w:r>
    </w:p>
    <w:p>
      <w:pPr>
        <w:pStyle w:val="style2"/>
        <w:numPr>
          <w:ilvl w:val="0"/>
          <w:numId w:val="1"/>
        </w:numPr>
        <w:spacing w:after="0" w:before="40" w:line="256" w:lineRule="auto"/>
        <w:ind w:hanging="360" w:left="720" w:right="0"/>
        <w:contextualSpacing/>
      </w:pPr>
      <w:r>
        <w:rPr>
          <w:rFonts w:ascii="Times New Roman" w:cs="Times New Roman" w:eastAsia="Times New Roman" w:hAnsi="Times New Roman"/>
          <w:b/>
          <w:sz w:val="36"/>
          <w:szCs w:val="36"/>
        </w:rPr>
        <w:t>Objetivo</w:t>
      </w:r>
    </w:p>
    <w:p>
      <w:pPr>
        <w:pStyle w:val="style0"/>
        <w:spacing w:after="160" w:before="0" w:line="256" w:lineRule="auto"/>
        <w:ind w:firstLine="567" w:left="0" w:right="0"/>
        <w:contextualSpacing w:val="false"/>
        <w:jc w:val="both"/>
      </w:pPr>
      <w:r>
        <w:rPr>
          <w:rFonts w:ascii="Times New Roman" w:cs="Times New Roman" w:eastAsia="Times New Roman" w:hAnsi="Times New Roman"/>
        </w:rPr>
        <w:t>Este documento tem por objetivo descrever o plano de medição para o projeto SDD (Sistema de Distribuição de disciplinas), segundo o propósitos abaixo:</w:t>
      </w:r>
    </w:p>
    <w:p>
      <w:pPr>
        <w:pStyle w:val="style0"/>
        <w:numPr>
          <w:ilvl w:val="0"/>
          <w:numId w:val="3"/>
        </w:numPr>
        <w:spacing w:after="0" w:before="0" w:line="256" w:lineRule="auto"/>
        <w:ind w:hanging="360" w:left="720" w:right="0"/>
        <w:contextualSpacing/>
        <w:jc w:val="both"/>
      </w:pPr>
      <w:r>
        <w:rPr>
          <w:rFonts w:ascii="Times New Roman" w:cs="Times New Roman" w:eastAsia="Times New Roman" w:hAnsi="Times New Roman"/>
        </w:rPr>
        <w:t xml:space="preserve">Fornecer indicadores para avaliar de forma clara e objetiva o desempenho dos processos do projeto em questão; </w:t>
      </w:r>
    </w:p>
    <w:p>
      <w:pPr>
        <w:pStyle w:val="style0"/>
        <w:spacing w:after="160" w:before="0" w:line="256" w:lineRule="auto"/>
        <w:contextualSpacing w:val="false"/>
        <w:jc w:val="both"/>
      </w:pPr>
      <w:r>
        <w:rPr/>
      </w:r>
    </w:p>
    <w:p>
      <w:pPr>
        <w:pStyle w:val="style2"/>
        <w:numPr>
          <w:ilvl w:val="0"/>
          <w:numId w:val="1"/>
        </w:numPr>
        <w:spacing w:after="0" w:before="40" w:line="256" w:lineRule="auto"/>
        <w:ind w:hanging="360" w:left="720" w:right="0"/>
        <w:contextualSpacing/>
      </w:pPr>
      <w:r>
        <w:rPr>
          <w:rFonts w:ascii="Times New Roman" w:cs="Times New Roman" w:eastAsia="Times New Roman" w:hAnsi="Times New Roman"/>
          <w:b/>
          <w:sz w:val="36"/>
          <w:szCs w:val="36"/>
        </w:rPr>
        <w:t>Objetivos Acadêmicos</w:t>
      </w:r>
    </w:p>
    <w:p>
      <w:pPr>
        <w:pStyle w:val="style0"/>
        <w:spacing w:after="160" w:before="0" w:line="256" w:lineRule="auto"/>
        <w:ind w:firstLine="567" w:left="0" w:right="0"/>
        <w:contextualSpacing w:val="false"/>
      </w:pPr>
      <w:r>
        <w:rPr>
          <w:rFonts w:ascii="Times New Roman" w:cs="Times New Roman" w:eastAsia="Times New Roman" w:hAnsi="Times New Roman"/>
        </w:rPr>
        <w:t xml:space="preserve">Os objetivos acadêmicos que direcionam a medição de processos no projeto MUIA são: </w:t>
      </w:r>
    </w:p>
    <w:p>
      <w:pPr>
        <w:pStyle w:val="style0"/>
        <w:numPr>
          <w:ilvl w:val="0"/>
          <w:numId w:val="2"/>
        </w:numPr>
        <w:spacing w:after="0" w:before="0" w:line="256" w:lineRule="auto"/>
        <w:ind w:hanging="360" w:left="1287" w:right="0"/>
        <w:contextualSpacing/>
      </w:pPr>
      <w:r>
        <w:rPr>
          <w:rFonts w:ascii="Times New Roman" w:cs="Times New Roman" w:eastAsia="Times New Roman" w:hAnsi="Times New Roman"/>
        </w:rPr>
        <w:t xml:space="preserve">Realizar projetos aderentes às melhores práticas de desenvolvimento de software. </w:t>
      </w:r>
    </w:p>
    <w:p>
      <w:pPr>
        <w:pStyle w:val="style0"/>
        <w:numPr>
          <w:ilvl w:val="0"/>
          <w:numId w:val="2"/>
        </w:numPr>
        <w:spacing w:after="0" w:before="0" w:line="256" w:lineRule="auto"/>
        <w:ind w:hanging="360" w:left="1287" w:right="0"/>
        <w:contextualSpacing/>
      </w:pPr>
      <w:r>
        <w:rPr>
          <w:rFonts w:ascii="Times New Roman" w:cs="Times New Roman" w:eastAsia="Times New Roman" w:hAnsi="Times New Roman"/>
        </w:rPr>
        <w:t xml:space="preserve">Satisfazer ou superar as expectativas dos patrocinadores dos projetos. </w:t>
      </w:r>
    </w:p>
    <w:p>
      <w:pPr>
        <w:pStyle w:val="style0"/>
        <w:numPr>
          <w:ilvl w:val="0"/>
          <w:numId w:val="2"/>
        </w:numPr>
        <w:spacing w:after="0" w:before="0" w:line="256" w:lineRule="auto"/>
        <w:ind w:hanging="360" w:left="1287" w:right="0"/>
        <w:contextualSpacing/>
      </w:pPr>
      <w:r>
        <w:rPr>
          <w:rFonts w:ascii="Times New Roman" w:cs="Times New Roman" w:eastAsia="Times New Roman" w:hAnsi="Times New Roman"/>
        </w:rPr>
        <w:t xml:space="preserve">Minimizar o retrabalho. </w:t>
      </w:r>
    </w:p>
    <w:p>
      <w:pPr>
        <w:pStyle w:val="style0"/>
        <w:numPr>
          <w:ilvl w:val="0"/>
          <w:numId w:val="2"/>
        </w:numPr>
        <w:spacing w:after="160" w:before="0" w:line="256" w:lineRule="auto"/>
        <w:ind w:hanging="360" w:left="1287" w:right="0"/>
        <w:contextualSpacing/>
      </w:pPr>
      <w:r>
        <w:rPr>
          <w:rFonts w:ascii="Times New Roman" w:cs="Times New Roman" w:eastAsia="Times New Roman" w:hAnsi="Times New Roman"/>
        </w:rPr>
        <w:t xml:space="preserve">Garantir a viabilidade dos projeto. </w:t>
      </w:r>
    </w:p>
    <w:p>
      <w:pPr>
        <w:pStyle w:val="style0"/>
        <w:spacing w:after="160" w:before="0" w:line="256" w:lineRule="auto"/>
        <w:ind w:firstLine="567" w:left="0" w:right="0"/>
        <w:contextualSpacing w:val="false"/>
        <w:jc w:val="both"/>
      </w:pPr>
      <w:r>
        <w:rPr>
          <w:rFonts w:ascii="Times New Roman" w:cs="Times New Roman" w:eastAsia="Times New Roman" w:hAnsi="Times New Roman"/>
        </w:rPr>
        <w:t xml:space="preserve">Os indicadores apresentados na tabela abaixo e descritos neste plano estão alinhados aos objetivos descritos acima,  possuem a mesma prioridade e são obrigatórios. </w:t>
      </w:r>
    </w:p>
    <w:p>
      <w:pPr>
        <w:pStyle w:val="style0"/>
        <w:spacing w:after="160" w:before="0" w:line="256" w:lineRule="auto"/>
        <w:ind w:firstLine="567" w:left="0" w:right="0"/>
        <w:contextualSpacing w:val="false"/>
      </w:pPr>
      <w:r>
        <w:rPr/>
      </w:r>
    </w:p>
    <w:tbl>
      <w:tblPr>
        <w:jc w:val="center"/>
        <w:tblInd w:type="dxa" w:w="113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3259"/>
        <w:gridCol w:w="1418"/>
        <w:gridCol w:w="3613"/>
      </w:tblGrid>
      <w:tr>
        <w:trPr>
          <w:cantSplit w:val="false"/>
        </w:trPr>
        <w:tc>
          <w:tcPr>
            <w:tcW w:type="dxa" w:w="32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99999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Indicador</w:t>
            </w:r>
          </w:p>
        </w:tc>
        <w:tc>
          <w:tcPr>
            <w:tcW w:type="dxa" w:w="141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99999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</w:rPr>
              <w:t>ID</w:t>
            </w:r>
          </w:p>
        </w:tc>
        <w:tc>
          <w:tcPr>
            <w:tcW w:type="dxa" w:w="36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99999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Processos</w:t>
            </w:r>
          </w:p>
        </w:tc>
      </w:tr>
      <w:tr>
        <w:trPr>
          <w:cantSplit w:val="false"/>
        </w:trPr>
        <w:tc>
          <w:tcPr>
            <w:tcW w:type="dxa" w:w="32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Porcentagem de não conformidades encontradas</w:t>
            </w:r>
          </w:p>
        </w:tc>
        <w:tc>
          <w:tcPr>
            <w:tcW w:type="dxa" w:w="141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</w:rPr>
              <w:t>PNC</w:t>
            </w:r>
          </w:p>
        </w:tc>
        <w:tc>
          <w:tcPr>
            <w:tcW w:type="dxa" w:w="36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 xml:space="preserve">TODOS </w:t>
            </w:r>
          </w:p>
        </w:tc>
      </w:tr>
      <w:tr>
        <w:trPr>
          <w:cantSplit w:val="false"/>
        </w:trPr>
        <w:tc>
          <w:tcPr>
            <w:tcW w:type="dxa" w:w="32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Porcentagem de não conformidades tratadas.</w:t>
            </w:r>
          </w:p>
        </w:tc>
        <w:tc>
          <w:tcPr>
            <w:tcW w:type="dxa" w:w="141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0"/>
              <w:keepNext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</w:rPr>
              <w:t>PNT</w:t>
            </w:r>
          </w:p>
        </w:tc>
        <w:tc>
          <w:tcPr>
            <w:tcW w:type="dxa" w:w="36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keepNext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GQA</w:t>
            </w:r>
          </w:p>
        </w:tc>
      </w:tr>
    </w:tbl>
    <w:p>
      <w:pPr>
        <w:pStyle w:val="style0"/>
        <w:spacing w:after="200" w:before="0" w:line="100" w:lineRule="atLeast"/>
        <w:contextualSpacing w:val="false"/>
        <w:jc w:val="center"/>
      </w:pPr>
      <w:r>
        <w:rPr>
          <w:rFonts w:ascii="Times New Roman" w:cs="Times New Roman" w:eastAsia="Times New Roman" w:hAnsi="Times New Roman"/>
          <w:i/>
          <w:sz w:val="18"/>
          <w:szCs w:val="18"/>
        </w:rPr>
        <w:t>Tabela 1- Indicadores</w:t>
      </w:r>
    </w:p>
    <w:p>
      <w:pPr>
        <w:pStyle w:val="style2"/>
        <w:numPr>
          <w:ilvl w:val="0"/>
          <w:numId w:val="1"/>
        </w:numPr>
        <w:spacing w:after="0" w:before="40" w:line="256" w:lineRule="auto"/>
        <w:ind w:hanging="360" w:left="720" w:right="0"/>
        <w:contextualSpacing/>
      </w:pPr>
      <w:r>
        <w:rPr>
          <w:rFonts w:ascii="Times New Roman" w:cs="Times New Roman" w:eastAsia="Times New Roman" w:hAnsi="Times New Roman"/>
          <w:b/>
          <w:sz w:val="36"/>
          <w:szCs w:val="36"/>
        </w:rPr>
        <w:t>Armazenamento de Dados de Medição</w:t>
      </w:r>
    </w:p>
    <w:p>
      <w:pPr>
        <w:pStyle w:val="style0"/>
        <w:spacing w:after="160" w:before="0" w:line="256" w:lineRule="auto"/>
        <w:ind w:firstLine="567" w:left="0" w:right="0"/>
        <w:contextualSpacing w:val="false"/>
        <w:jc w:val="both"/>
      </w:pPr>
      <w:r>
        <w:rPr>
          <w:rFonts w:ascii="Times New Roman" w:cs="Times New Roman" w:eastAsia="Times New Roman" w:hAnsi="Times New Roman"/>
        </w:rPr>
        <w:t xml:space="preserve">Todos os dados coletados para obtenção dos indicadores, assim como os resultados de análise de todas as métricas e os registros das comunicações descritas neste plano devem ser armazenados no repositório especificado no plano de configuração e dedicado a este fim. </w:t>
      </w:r>
    </w:p>
    <w:p>
      <w:pPr>
        <w:pStyle w:val="style2"/>
        <w:numPr>
          <w:ilvl w:val="0"/>
          <w:numId w:val="1"/>
        </w:numPr>
        <w:spacing w:after="0" w:before="40" w:line="256" w:lineRule="auto"/>
        <w:ind w:hanging="360" w:left="720" w:right="0"/>
        <w:contextualSpacing/>
      </w:pPr>
      <w:r>
        <w:rPr>
          <w:rFonts w:ascii="Times New Roman" w:cs="Times New Roman" w:eastAsia="Times New Roman" w:hAnsi="Times New Roman"/>
          <w:b/>
          <w:sz w:val="36"/>
          <w:szCs w:val="36"/>
        </w:rPr>
        <w:t>Comunicação da Análise de Indicadores</w:t>
      </w:r>
    </w:p>
    <w:p>
      <w:pPr>
        <w:pStyle w:val="style0"/>
        <w:spacing w:after="160" w:before="0" w:line="256" w:lineRule="auto"/>
        <w:ind w:firstLine="567" w:left="0" w:right="0"/>
        <w:contextualSpacing w:val="false"/>
        <w:jc w:val="both"/>
      </w:pPr>
      <w:r>
        <w:rPr>
          <w:rFonts w:ascii="Times New Roman" w:cs="Times New Roman" w:eastAsia="Times New Roman" w:hAnsi="Times New Roman"/>
        </w:rPr>
        <w:t>Os resultados da análise dos indicadores definidos neste plano de medição deverão ser comunicados como descrito na Tabela abaixo:</w:t>
      </w:r>
    </w:p>
    <w:tbl>
      <w:tblPr>
        <w:jc w:val="center"/>
        <w:tblInd w:type="dxa" w:w="113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754"/>
      </w:tblGrid>
      <w:tr>
        <w:trPr>
          <w:cantSplit w:val="false"/>
        </w:trPr>
        <w:tc>
          <w:tcPr>
            <w:tcW w:type="dxa" w:w="8754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99999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</w:rPr>
              <w:t>Comunicação da Análise de Indicadores</w:t>
            </w:r>
          </w:p>
        </w:tc>
      </w:tr>
      <w:tr>
        <w:trPr>
          <w:cantSplit w:val="false"/>
        </w:trPr>
        <w:tc>
          <w:tcPr>
            <w:tcW w:type="dxa" w:w="180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</w:rPr>
              <w:t>Quem?</w:t>
            </w:r>
          </w:p>
        </w:tc>
        <w:tc>
          <w:tcPr>
            <w:tcW w:type="dxa" w:w="694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Gerente de Projetos</w:t>
            </w:r>
          </w:p>
        </w:tc>
      </w:tr>
      <w:tr>
        <w:trPr>
          <w:cantSplit w:val="false"/>
        </w:trPr>
        <w:tc>
          <w:tcPr>
            <w:tcW w:type="dxa" w:w="180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</w:rPr>
              <w:t>Quando?</w:t>
            </w:r>
          </w:p>
        </w:tc>
        <w:tc>
          <w:tcPr>
            <w:tcW w:type="dxa" w:w="694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Até 2 dias úteis após o período medido.</w:t>
            </w:r>
          </w:p>
        </w:tc>
      </w:tr>
      <w:tr>
        <w:trPr>
          <w:cantSplit w:val="false"/>
        </w:trPr>
        <w:tc>
          <w:tcPr>
            <w:tcW w:type="dxa" w:w="180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</w:rPr>
              <w:t>Como?</w:t>
            </w:r>
          </w:p>
        </w:tc>
        <w:tc>
          <w:tcPr>
            <w:tcW w:type="dxa" w:w="694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- Enviar e-mail com os resultados das análises.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 xml:space="preserve">- Registrar o envio na pasta </w:t>
            </w:r>
            <w:hyperlink r:id="rId2">
              <w:r>
                <w:rPr>
                  <w:rStyle w:val="style17"/>
                  <w:rFonts w:ascii="Times New Roman" w:cs="Times New Roman" w:eastAsia="Times New Roman" w:hAnsi="Times New Roman"/>
                  <w:u w:val="single"/>
                </w:rPr>
                <w:t>Registro de Comunicação</w:t>
              </w:r>
            </w:hyperlink>
            <w:r>
              <w:rPr>
                <w:rFonts w:ascii="Times New Roman" w:cs="Times New Roman" w:eastAsia="Times New Roman" w:hAnsi="Times New Roman"/>
              </w:rPr>
              <w:t>, dentro da pasta Medição.</w:t>
            </w:r>
          </w:p>
        </w:tc>
      </w:tr>
      <w:tr>
        <w:trPr>
          <w:cantSplit w:val="false"/>
        </w:trPr>
        <w:tc>
          <w:tcPr>
            <w:tcW w:type="dxa" w:w="180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</w:rPr>
              <w:t>Publico alvo</w:t>
            </w:r>
          </w:p>
        </w:tc>
        <w:tc>
          <w:tcPr>
            <w:tcW w:type="dxa" w:w="694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- Todos os colaboradores envolvidos (recursos humanos) no projeto e o stakeholder Juliano Lopez de Oliveira.</w:t>
            </w:r>
          </w:p>
        </w:tc>
      </w:tr>
    </w:tbl>
    <w:p>
      <w:pPr>
        <w:pStyle w:val="style0"/>
        <w:spacing w:after="160" w:before="0" w:line="256" w:lineRule="auto"/>
        <w:ind w:firstLine="567" w:left="0" w:right="0"/>
        <w:contextualSpacing w:val="false"/>
        <w:jc w:val="both"/>
      </w:pPr>
      <w:r>
        <w:rPr/>
      </w:r>
    </w:p>
    <w:p>
      <w:pPr>
        <w:pStyle w:val="style2"/>
        <w:numPr>
          <w:ilvl w:val="0"/>
          <w:numId w:val="1"/>
        </w:numPr>
        <w:spacing w:after="0" w:before="40" w:line="256" w:lineRule="auto"/>
        <w:ind w:hanging="360" w:left="720" w:right="0"/>
        <w:contextualSpacing/>
      </w:pPr>
      <w:r>
        <w:rPr>
          <w:rFonts w:ascii="Times New Roman" w:cs="Times New Roman" w:eastAsia="Times New Roman" w:hAnsi="Times New Roman"/>
          <w:b/>
          <w:sz w:val="36"/>
          <w:szCs w:val="36"/>
        </w:rPr>
        <w:t>Questões, Indicadores e Métricas</w:t>
      </w:r>
    </w:p>
    <w:p>
      <w:pPr>
        <w:pStyle w:val="style0"/>
        <w:spacing w:after="160" w:before="0" w:line="256" w:lineRule="auto"/>
        <w:ind w:firstLine="720" w:left="0" w:right="0"/>
        <w:contextualSpacing w:val="false"/>
        <w:jc w:val="both"/>
      </w:pPr>
      <w:r>
        <w:rPr>
          <w:rFonts w:ascii="Times New Roman" w:cs="Times New Roman" w:eastAsia="Times New Roman" w:hAnsi="Times New Roman"/>
        </w:rPr>
        <w:t>Esta seção define as métricas dos indicadores previstos para cada processo de software e as questões que esses indicadores ajudam a responder.</w:t>
      </w:r>
    </w:p>
    <w:p>
      <w:pPr>
        <w:pStyle w:val="style3"/>
        <w:numPr>
          <w:ilvl w:val="1"/>
          <w:numId w:val="1"/>
        </w:numPr>
        <w:spacing w:after="0" w:before="40" w:line="256" w:lineRule="auto"/>
        <w:ind w:hanging="360" w:left="927" w:right="0"/>
        <w:contextualSpacing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Percentual de Conformidade</w:t>
      </w:r>
    </w:p>
    <w:tbl>
      <w:tblPr>
        <w:jc w:val="left"/>
        <w:tblInd w:type="dxa" w:w="-115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159"/>
        <w:gridCol w:w="3120"/>
        <w:gridCol w:w="4761"/>
      </w:tblGrid>
      <w:tr>
        <w:trPr>
          <w:cantSplit w:val="false"/>
        </w:trPr>
        <w:tc>
          <w:tcPr>
            <w:tcW w:type="dxa" w:w="11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99999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ID</w:t>
            </w:r>
          </w:p>
        </w:tc>
        <w:tc>
          <w:tcPr>
            <w:tcW w:type="dxa" w:w="3120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99999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Indicador</w:t>
            </w:r>
          </w:p>
        </w:tc>
        <w:tc>
          <w:tcPr>
            <w:tcW w:type="dxa" w:w="476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99999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Questões/Necessidade de Informações</w:t>
            </w:r>
          </w:p>
        </w:tc>
      </w:tr>
      <w:tr>
        <w:trPr>
          <w:cantSplit w:val="false"/>
        </w:trPr>
        <w:tc>
          <w:tcPr>
            <w:tcW w:type="dxa" w:w="11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PNC</w:t>
            </w:r>
          </w:p>
        </w:tc>
        <w:tc>
          <w:tcPr>
            <w:tcW w:type="dxa" w:w="3120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Porcentagem de não conformidades encontradas</w:t>
            </w:r>
          </w:p>
        </w:tc>
        <w:tc>
          <w:tcPr>
            <w:tcW w:type="dxa" w:w="476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Percentual de não conformidades que foram encontradas no projeto.</w:t>
            </w:r>
          </w:p>
        </w:tc>
      </w:tr>
      <w:tr>
        <w:trPr>
          <w:cantSplit w:val="false"/>
        </w:trPr>
        <w:tc>
          <w:tcPr>
            <w:tcW w:type="dxa" w:w="9040"/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99999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Coleta de dados</w:t>
            </w:r>
          </w:p>
        </w:tc>
      </w:tr>
      <w:tr>
        <w:trPr>
          <w:cantSplit w:val="false"/>
        </w:trPr>
        <w:tc>
          <w:tcPr>
            <w:tcW w:type="dxa" w:w="1600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Quem</w:t>
            </w:r>
          </w:p>
        </w:tc>
        <w:tc>
          <w:tcPr>
            <w:tcW w:type="dxa" w:w="7440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Membros das equipes responsáveis pela medição</w:t>
            </w:r>
          </w:p>
        </w:tc>
      </w:tr>
      <w:tr>
        <w:trPr>
          <w:cantSplit w:val="false"/>
        </w:trPr>
        <w:tc>
          <w:tcPr>
            <w:tcW w:type="dxa" w:w="1600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Quando</w:t>
            </w:r>
          </w:p>
        </w:tc>
        <w:tc>
          <w:tcPr>
            <w:tcW w:type="dxa" w:w="7440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 xml:space="preserve">Imediatamente após a avaliação da Qualidade. </w:t>
            </w:r>
          </w:p>
        </w:tc>
      </w:tr>
      <w:tr>
        <w:trPr>
          <w:cantSplit w:val="false"/>
        </w:trPr>
        <w:tc>
          <w:tcPr>
            <w:tcW w:type="dxa" w:w="1600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Como</w:t>
            </w:r>
          </w:p>
        </w:tc>
        <w:tc>
          <w:tcPr>
            <w:tcW w:type="dxa" w:w="7440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Coletar a quantidade de não conformidades nos checklists GPR, GRE, GPP, GCO e MED (armazenados conforme o plano de configuração) gerados na Construção  correspondente.</w:t>
            </w:r>
          </w:p>
        </w:tc>
      </w:tr>
      <w:tr>
        <w:trPr>
          <w:cantSplit w:val="false"/>
        </w:trPr>
        <w:tc>
          <w:tcPr>
            <w:tcW w:type="dxa" w:w="1600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Armazenamento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(ONDE)</w:t>
            </w:r>
          </w:p>
        </w:tc>
        <w:tc>
          <w:tcPr>
            <w:tcW w:type="dxa" w:w="7440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Planilha do EXCEL – armazenado na pasta especificada no plano de configuração.</w:t>
            </w:r>
          </w:p>
        </w:tc>
      </w:tr>
      <w:tr>
        <w:trPr>
          <w:cantSplit w:val="false"/>
        </w:trPr>
        <w:tc>
          <w:tcPr>
            <w:tcW w:type="dxa" w:w="9040"/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99999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Análise</w:t>
            </w:r>
          </w:p>
        </w:tc>
      </w:tr>
      <w:tr>
        <w:trPr>
          <w:cantSplit w:val="false"/>
        </w:trPr>
        <w:tc>
          <w:tcPr>
            <w:tcW w:type="dxa" w:w="2839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99999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Faixa de Valores</w:t>
            </w:r>
          </w:p>
        </w:tc>
        <w:tc>
          <w:tcPr>
            <w:tcW w:type="dxa" w:w="6201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99999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Meta de Resultado</w:t>
            </w:r>
          </w:p>
        </w:tc>
      </w:tr>
      <w:tr>
        <w:trPr>
          <w:cantSplit w:val="false"/>
        </w:trPr>
        <w:tc>
          <w:tcPr>
            <w:tcW w:type="dxa" w:w="2839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Percentual de 0% a 100%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</w:r>
          </w:p>
        </w:tc>
        <w:tc>
          <w:tcPr>
            <w:tcW w:type="dxa" w:w="6201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&lt;=40% = Desejável;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41% a 49% = Alerta;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&gt;=50% = Crítico;</w:t>
            </w:r>
          </w:p>
        </w:tc>
      </w:tr>
      <w:tr>
        <w:trPr>
          <w:cantSplit w:val="false"/>
        </w:trPr>
        <w:tc>
          <w:tcPr>
            <w:tcW w:type="dxa" w:w="2839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Quem</w:t>
            </w:r>
          </w:p>
        </w:tc>
        <w:tc>
          <w:tcPr>
            <w:tcW w:type="dxa" w:w="6201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Automática (pela planilha de medição)</w:t>
            </w:r>
          </w:p>
        </w:tc>
      </w:tr>
      <w:tr>
        <w:trPr>
          <w:cantSplit w:val="false"/>
        </w:trPr>
        <w:tc>
          <w:tcPr>
            <w:tcW w:type="dxa" w:w="2839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Quando</w:t>
            </w:r>
          </w:p>
        </w:tc>
        <w:tc>
          <w:tcPr>
            <w:tcW w:type="dxa" w:w="6201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Imediatamente após a coleta.</w:t>
            </w:r>
          </w:p>
        </w:tc>
      </w:tr>
      <w:tr>
        <w:trPr>
          <w:cantSplit w:val="false"/>
        </w:trPr>
        <w:tc>
          <w:tcPr>
            <w:tcW w:type="dxa" w:w="2839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Como</w:t>
            </w:r>
          </w:p>
        </w:tc>
        <w:tc>
          <w:tcPr>
            <w:tcW w:type="dxa" w:w="6201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O cenário ideal é aquele em que o índice de não conformidade é menor que 40%.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  <w:b/>
              </w:rPr>
              <w:t>Desejável</w:t>
            </w:r>
            <w:r>
              <w:rPr>
                <w:rFonts w:ascii="Times New Roman" w:cs="Times New Roman" w:eastAsia="Times New Roman" w:hAnsi="Times New Roman"/>
              </w:rPr>
              <w:t>: O projeto está dentro do padrão de qualidade esperado;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-Ação: Não é necessária nenhuma ação.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  <w:b/>
              </w:rPr>
              <w:t>Alerta</w:t>
            </w:r>
            <w:r>
              <w:rPr>
                <w:rFonts w:ascii="Times New Roman" w:cs="Times New Roman" w:eastAsia="Times New Roman" w:hAnsi="Times New Roman"/>
              </w:rPr>
              <w:t>: O projeto necessita de ajustes para que alcance a qualidade mínima esperada;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-Ação: Gerente de Projetos revisa os processos e propõe melhoria para que a situação não se repita.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  <w:b/>
              </w:rPr>
              <w:t>Crítico</w:t>
            </w:r>
            <w:r>
              <w:rPr>
                <w:rFonts w:ascii="Times New Roman" w:cs="Times New Roman" w:eastAsia="Times New Roman" w:hAnsi="Times New Roman"/>
              </w:rPr>
              <w:t>: O projeto possui desvios além do esperado.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 xml:space="preserve">-Ação: Os lideres da equipes responsáveis pela avaliação  leva ao conhecimento do Gestor de Portfólio os desvios que aconteceram para que este possa criar ações e medidas para corrigir os desvios e evitar sua recorrência. </w:t>
            </w:r>
          </w:p>
        </w:tc>
      </w:tr>
    </w:tbl>
    <w:p>
      <w:pPr>
        <w:pStyle w:val="style3"/>
        <w:spacing w:after="0" w:before="40" w:line="256" w:lineRule="auto"/>
        <w:ind w:hanging="0" w:left="567" w:right="0"/>
        <w:contextualSpacing w:val="false"/>
      </w:pPr>
      <w:r>
        <w:rPr/>
      </w:r>
    </w:p>
    <w:p>
      <w:pPr>
        <w:pStyle w:val="style3"/>
        <w:numPr>
          <w:ilvl w:val="1"/>
          <w:numId w:val="4"/>
        </w:numPr>
        <w:spacing w:after="0" w:before="40" w:line="256" w:lineRule="auto"/>
        <w:ind w:hanging="360" w:left="927" w:right="0"/>
        <w:contextualSpacing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Percentual de não conformidades tratadas</w:t>
      </w:r>
    </w:p>
    <w:tbl>
      <w:tblPr>
        <w:jc w:val="left"/>
        <w:tblInd w:type="dxa" w:w="-115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120"/>
        <w:gridCol w:w="3120"/>
        <w:gridCol w:w="4780"/>
      </w:tblGrid>
      <w:tr>
        <w:trPr>
          <w:cantSplit w:val="false"/>
        </w:trPr>
        <w:tc>
          <w:tcPr>
            <w:tcW w:type="dxa" w:w="112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99999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ID</w:t>
            </w:r>
          </w:p>
        </w:tc>
        <w:tc>
          <w:tcPr>
            <w:tcW w:type="dxa" w:w="3120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99999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Indicador</w:t>
            </w:r>
          </w:p>
        </w:tc>
        <w:tc>
          <w:tcPr>
            <w:tcW w:type="dxa" w:w="47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99999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Questões/Necessidade de Informações</w:t>
            </w:r>
          </w:p>
        </w:tc>
      </w:tr>
      <w:tr>
        <w:trPr>
          <w:cantSplit w:val="false"/>
        </w:trPr>
        <w:tc>
          <w:tcPr>
            <w:tcW w:type="dxa" w:w="112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PNT</w:t>
            </w:r>
          </w:p>
        </w:tc>
        <w:tc>
          <w:tcPr>
            <w:tcW w:type="dxa" w:w="3120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Porcentagem de não conformidades tratadas.</w:t>
            </w:r>
          </w:p>
        </w:tc>
        <w:tc>
          <w:tcPr>
            <w:tcW w:type="dxa" w:w="47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Decisões foram tomadas para o tratamento das não conformidades encontradas?</w:t>
            </w:r>
          </w:p>
        </w:tc>
      </w:tr>
      <w:tr>
        <w:trPr>
          <w:cantSplit w:val="false"/>
        </w:trPr>
        <w:tc>
          <w:tcPr>
            <w:tcW w:type="dxa" w:w="9020"/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99999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Coleta de dados</w:t>
            </w:r>
          </w:p>
        </w:tc>
      </w:tr>
      <w:tr>
        <w:trPr>
          <w:cantSplit w:val="false"/>
        </w:trPr>
        <w:tc>
          <w:tcPr>
            <w:tcW w:type="dxa" w:w="1560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Quem</w:t>
            </w:r>
          </w:p>
        </w:tc>
        <w:tc>
          <w:tcPr>
            <w:tcW w:type="dxa" w:w="7460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Gerente de Projetos</w:t>
            </w:r>
          </w:p>
        </w:tc>
      </w:tr>
      <w:tr>
        <w:trPr>
          <w:cantSplit w:val="false"/>
        </w:trPr>
        <w:tc>
          <w:tcPr>
            <w:tcW w:type="dxa" w:w="1560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Quando</w:t>
            </w:r>
          </w:p>
        </w:tc>
        <w:tc>
          <w:tcPr>
            <w:tcW w:type="dxa" w:w="7460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Até 2 dias úteis após o período medido.</w:t>
            </w:r>
          </w:p>
        </w:tc>
      </w:tr>
      <w:tr>
        <w:trPr>
          <w:cantSplit w:val="false"/>
        </w:trPr>
        <w:tc>
          <w:tcPr>
            <w:tcW w:type="dxa" w:w="1560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Como</w:t>
            </w:r>
          </w:p>
        </w:tc>
        <w:tc>
          <w:tcPr>
            <w:tcW w:type="dxa" w:w="7460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 xml:space="preserve">O Gerente de Projetos verifica se as não conformidades encontradas foram tratadas ou se decisões foram tomadas a cerca de seu tratamento. </w:t>
            </w:r>
          </w:p>
        </w:tc>
      </w:tr>
      <w:tr>
        <w:trPr>
          <w:cantSplit w:val="false"/>
        </w:trPr>
        <w:tc>
          <w:tcPr>
            <w:tcW w:type="dxa" w:w="1560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Armazenamento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(ONDE)</w:t>
            </w:r>
          </w:p>
        </w:tc>
        <w:tc>
          <w:tcPr>
            <w:tcW w:type="dxa" w:w="7460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Planilha do EXCEL – armazenado na pasta especificada no plano de configuração.</w:t>
            </w:r>
          </w:p>
        </w:tc>
      </w:tr>
      <w:tr>
        <w:trPr>
          <w:cantSplit w:val="false"/>
        </w:trPr>
        <w:tc>
          <w:tcPr>
            <w:tcW w:type="dxa" w:w="9020"/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99999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Análise</w:t>
            </w:r>
          </w:p>
        </w:tc>
      </w:tr>
      <w:tr>
        <w:trPr>
          <w:cantSplit w:val="false"/>
        </w:trPr>
        <w:tc>
          <w:tcPr>
            <w:tcW w:type="dxa" w:w="2799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99999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Faixa de Valores</w:t>
            </w:r>
          </w:p>
        </w:tc>
        <w:tc>
          <w:tcPr>
            <w:tcW w:type="dxa" w:w="6221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99999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Resultado</w:t>
            </w:r>
          </w:p>
        </w:tc>
      </w:tr>
      <w:tr>
        <w:trPr>
          <w:cantSplit w:val="false"/>
        </w:trPr>
        <w:tc>
          <w:tcPr>
            <w:tcW w:type="dxa" w:w="2799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Percentual de 0% a 100%</w:t>
            </w:r>
          </w:p>
        </w:tc>
        <w:tc>
          <w:tcPr>
            <w:tcW w:type="dxa" w:w="6221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100% = Desejável;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&gt;=90% = Alerta;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&lt; 90% = Crítico</w:t>
            </w:r>
          </w:p>
        </w:tc>
      </w:tr>
      <w:tr>
        <w:trPr>
          <w:cantSplit w:val="false"/>
        </w:trPr>
        <w:tc>
          <w:tcPr>
            <w:tcW w:type="dxa" w:w="2799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Quem</w:t>
            </w:r>
          </w:p>
        </w:tc>
        <w:tc>
          <w:tcPr>
            <w:tcW w:type="dxa" w:w="6221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 xml:space="preserve">Gerente de Projetos. </w:t>
            </w:r>
          </w:p>
        </w:tc>
      </w:tr>
      <w:tr>
        <w:trPr>
          <w:cantSplit w:val="false"/>
        </w:trPr>
        <w:tc>
          <w:tcPr>
            <w:tcW w:type="dxa" w:w="2799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Quando</w:t>
            </w:r>
          </w:p>
        </w:tc>
        <w:tc>
          <w:tcPr>
            <w:tcW w:type="dxa" w:w="6221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bookmarkStart w:id="0" w:name="h.gjdgxs"/>
            <w:bookmarkEnd w:id="0"/>
            <w:r>
              <w:rPr>
                <w:rFonts w:ascii="Times New Roman" w:cs="Times New Roman" w:eastAsia="Times New Roman" w:hAnsi="Times New Roman"/>
              </w:rPr>
              <w:t>Até 2 dias úteis após o período medido.</w:t>
            </w:r>
          </w:p>
        </w:tc>
      </w:tr>
      <w:tr>
        <w:trPr>
          <w:cantSplit w:val="false"/>
        </w:trPr>
        <w:tc>
          <w:tcPr>
            <w:tcW w:type="dxa" w:w="2799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Como</w:t>
            </w:r>
          </w:p>
        </w:tc>
        <w:tc>
          <w:tcPr>
            <w:tcW w:type="dxa" w:w="6221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 xml:space="preserve">Este indicador tem como objetivo medir o grau de aderência dos projetos ao processo em relação ao tratamento das não conformidades encontradas. 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</w:rPr>
              <w:t>O cenário ideal é aquele em que o tratamento das não conformidades encontradas seja de 100%.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  <w:b/>
              </w:rPr>
              <w:t>Desejável</w:t>
            </w:r>
            <w:r>
              <w:rPr>
                <w:rFonts w:ascii="Times New Roman" w:cs="Times New Roman" w:eastAsia="Times New Roman" w:hAnsi="Times New Roman"/>
              </w:rPr>
              <w:t>: O projeto está dentro do padrão de qualidade esperado;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  <w:b/>
              </w:rPr>
              <w:t>-Ação:</w:t>
            </w:r>
            <w:r>
              <w:rPr>
                <w:rFonts w:ascii="Times New Roman" w:cs="Times New Roman" w:eastAsia="Times New Roman" w:hAnsi="Times New Roman"/>
              </w:rPr>
              <w:t xml:space="preserve"> Não é necessária nenhuma ação.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  <w:b/>
              </w:rPr>
              <w:t>Alerta</w:t>
            </w:r>
            <w:r>
              <w:rPr>
                <w:rFonts w:ascii="Times New Roman" w:cs="Times New Roman" w:eastAsia="Times New Roman" w:hAnsi="Times New Roman"/>
              </w:rPr>
              <w:t>: Existem não conformidades não tratadas;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  <w:b/>
              </w:rPr>
              <w:t>-Ação:</w:t>
            </w:r>
            <w:r>
              <w:rPr>
                <w:rFonts w:ascii="Times New Roman" w:cs="Times New Roman" w:eastAsia="Times New Roman" w:hAnsi="Times New Roman"/>
              </w:rPr>
              <w:t xml:space="preserve"> O Gerente de Medição notifica ao responsável pela não conformidade para que realize uma ação de correção. Em caso de impossibilidade da execução da ação de correção, o Gerente de Projetos deverá ser comunicado formalmente para que ações sejam tomadas.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  <w:b/>
              </w:rPr>
              <w:t>Crítico</w:t>
            </w:r>
            <w:r>
              <w:rPr>
                <w:rFonts w:ascii="Times New Roman" w:cs="Times New Roman" w:eastAsia="Times New Roman" w:hAnsi="Times New Roman"/>
              </w:rPr>
              <w:t>: Alto índice de  não conformidades sem ações de tratamento.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Times New Roman" w:hAnsi="Times New Roman"/>
                <w:b/>
              </w:rPr>
              <w:t xml:space="preserve">-Ação: </w:t>
            </w:r>
            <w:r>
              <w:rPr>
                <w:rFonts w:ascii="Times New Roman" w:cs="Times New Roman" w:eastAsia="Times New Roman" w:hAnsi="Times New Roman"/>
              </w:rPr>
              <w:t xml:space="preserve">Se o índice crítico é do processo, o gerente de projetos leva ao conhecimento do responsável pelo processo para que este realize ações corretivas. </w:t>
            </w:r>
          </w:p>
        </w:tc>
      </w:tr>
    </w:tbl>
    <w:p>
      <w:pPr>
        <w:pStyle w:val="style0"/>
        <w:spacing w:after="160" w:before="0" w:line="256" w:lineRule="auto"/>
        <w:contextualSpacing w:val="false"/>
        <w:jc w:val="both"/>
      </w:pPr>
      <w:r>
        <w:rPr/>
      </w:r>
    </w:p>
    <w:p>
      <w:pPr>
        <w:pStyle w:val="style0"/>
        <w:spacing w:after="160" w:before="0" w:line="256" w:lineRule="auto"/>
        <w:contextualSpacing w:val="false"/>
        <w:jc w:val="both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Times New Roman">
    <w:charset w:val="8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-360" w:left="720"/>
      </w:pPr>
      <w:rPr>
        <w:sz w:val="36"/>
        <w:b/>
        <w:szCs w:val="36"/>
      </w:rPr>
    </w:lvl>
    <w:lvl w:ilvl="1">
      <w:start w:val="1"/>
      <w:numFmt w:val="decimal"/>
      <w:lvlText w:val="%1.%2."/>
      <w:lvlJc w:val="left"/>
      <w:pPr>
        <w:ind w:hanging="-567" w:left="927"/>
      </w:pPr>
    </w:lvl>
    <w:lvl w:ilvl="2">
      <w:start w:val="1"/>
      <w:numFmt w:val="decimal"/>
      <w:lvlText w:val="%1.%2.%3."/>
      <w:lvlJc w:val="left"/>
      <w:pPr>
        <w:ind w:hanging="-774" w:left="1494"/>
      </w:pPr>
    </w:lvl>
    <w:lvl w:ilvl="3">
      <w:start w:val="1"/>
      <w:numFmt w:val="decimal"/>
      <w:lvlText w:val="%1.%2.%3.%4."/>
      <w:lvlJc w:val="left"/>
      <w:pPr>
        <w:ind w:hanging="-981" w:left="1701"/>
      </w:pPr>
    </w:lvl>
    <w:lvl w:ilvl="4">
      <w:start w:val="1"/>
      <w:numFmt w:val="decimal"/>
      <w:lvlText w:val="%1.%2.%3.%4.%5."/>
      <w:lvlJc w:val="left"/>
      <w:pPr>
        <w:ind w:hanging="-1188" w:left="2268"/>
      </w:pPr>
    </w:lvl>
    <w:lvl w:ilvl="5">
      <w:start w:val="1"/>
      <w:numFmt w:val="decimal"/>
      <w:lvlText w:val="%1.%2.%3.%4.%5.%6."/>
      <w:lvlJc w:val="left"/>
      <w:pPr>
        <w:ind w:hanging="-1395" w:left="2475"/>
      </w:pPr>
    </w:lvl>
    <w:lvl w:ilvl="6">
      <w:start w:val="1"/>
      <w:numFmt w:val="decimal"/>
      <w:lvlText w:val="%1.%2.%3.%4.%5.%6.%7."/>
      <w:lvlJc w:val="left"/>
      <w:pPr>
        <w:ind w:hanging="-1602" w:left="3042"/>
      </w:pPr>
    </w:lvl>
    <w:lvl w:ilvl="7">
      <w:start w:val="1"/>
      <w:numFmt w:val="decimal"/>
      <w:lvlText w:val="%1.%2.%3.%4.%5.%6.%7.%8."/>
      <w:lvlJc w:val="left"/>
      <w:pPr>
        <w:ind w:hanging="-1808" w:left="3249"/>
      </w:pPr>
    </w:lvl>
    <w:lvl w:ilvl="8">
      <w:start w:val="1"/>
      <w:numFmt w:val="decimal"/>
      <w:lvlText w:val="%1.%2.%3.%4.%5.%6.%7.%8.%9."/>
      <w:lvlJc w:val="left"/>
      <w:pPr>
        <w:ind w:hanging="-2016" w:left="3816"/>
      </w:pPr>
    </w:lvl>
  </w:abstractNum>
  <w:abstractNum w:abstractNumId="2">
    <w:lvl w:ilvl="0">
      <w:start w:val="1"/>
      <w:numFmt w:val="decimal"/>
      <w:lvlText w:val="%1."/>
      <w:lvlJc w:val="left"/>
      <w:pPr>
        <w:ind w:hanging="-926" w:left="1287"/>
      </w:pPr>
    </w:lvl>
    <w:lvl w:ilvl="1">
      <w:start w:val="1"/>
      <w:numFmt w:val="lowerLetter"/>
      <w:lvlText w:val="%2."/>
      <w:lvlJc w:val="left"/>
      <w:pPr>
        <w:ind w:hanging="-1647" w:left="2007"/>
      </w:pPr>
    </w:lvl>
    <w:lvl w:ilvl="2">
      <w:start w:val="1"/>
      <w:numFmt w:val="lowerRoman"/>
      <w:lvlText w:val="%3."/>
      <w:lvlJc w:val="right"/>
      <w:pPr>
        <w:ind w:hanging="-2547" w:left="2727"/>
      </w:pPr>
    </w:lvl>
    <w:lvl w:ilvl="3">
      <w:start w:val="1"/>
      <w:numFmt w:val="decimal"/>
      <w:lvlText w:val="%4."/>
      <w:lvlJc w:val="left"/>
      <w:pPr>
        <w:ind w:hanging="-3087" w:left="3447"/>
      </w:pPr>
    </w:lvl>
    <w:lvl w:ilvl="4">
      <w:start w:val="1"/>
      <w:numFmt w:val="lowerLetter"/>
      <w:lvlText w:val="%5."/>
      <w:lvlJc w:val="left"/>
      <w:pPr>
        <w:ind w:hanging="-3807" w:left="4167"/>
      </w:pPr>
    </w:lvl>
    <w:lvl w:ilvl="5">
      <w:start w:val="1"/>
      <w:numFmt w:val="lowerRoman"/>
      <w:lvlText w:val="%6."/>
      <w:lvlJc w:val="right"/>
      <w:pPr>
        <w:ind w:hanging="-4707" w:left="4887"/>
      </w:pPr>
    </w:lvl>
    <w:lvl w:ilvl="6">
      <w:start w:val="1"/>
      <w:numFmt w:val="decimal"/>
      <w:lvlText w:val="%7."/>
      <w:lvlJc w:val="left"/>
      <w:pPr>
        <w:ind w:hanging="-5247" w:left="5607"/>
      </w:pPr>
    </w:lvl>
    <w:lvl w:ilvl="7">
      <w:start w:val="1"/>
      <w:numFmt w:val="lowerLetter"/>
      <w:lvlText w:val="%8."/>
      <w:lvlJc w:val="left"/>
      <w:pPr>
        <w:ind w:hanging="-5967" w:left="6327"/>
      </w:pPr>
    </w:lvl>
    <w:lvl w:ilvl="8">
      <w:start w:val="1"/>
      <w:numFmt w:val="lowerRoman"/>
      <w:lvlText w:val="%9."/>
      <w:lvlJc w:val="right"/>
      <w:pPr>
        <w:ind w:hanging="-6867" w:left="7047"/>
      </w:pPr>
    </w:lvl>
  </w:abstractNum>
  <w:abstractNum w:abstractNumId="3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hanging="-360" w:left="720"/>
      </w:pPr>
    </w:lvl>
    <w:lvl w:ilvl="1">
      <w:start w:val="1"/>
      <w:numFmt w:val="decimal"/>
      <w:lvlText w:val="%1.%2."/>
      <w:lvlJc w:val="left"/>
      <w:pPr>
        <w:ind w:hanging="-567" w:left="927"/>
      </w:pPr>
    </w:lvl>
    <w:lvl w:ilvl="2">
      <w:start w:val="1"/>
      <w:numFmt w:val="decimal"/>
      <w:lvlText w:val="%1.%2.%3."/>
      <w:lvlJc w:val="left"/>
      <w:pPr>
        <w:ind w:hanging="-774" w:left="1494"/>
      </w:pPr>
    </w:lvl>
    <w:lvl w:ilvl="3">
      <w:start w:val="1"/>
      <w:numFmt w:val="decimal"/>
      <w:lvlText w:val="%1.%2.%3.%4."/>
      <w:lvlJc w:val="left"/>
      <w:pPr>
        <w:ind w:hanging="-981" w:left="1701"/>
      </w:pPr>
    </w:lvl>
    <w:lvl w:ilvl="4">
      <w:start w:val="1"/>
      <w:numFmt w:val="decimal"/>
      <w:lvlText w:val="%1.%2.%3.%4.%5."/>
      <w:lvlJc w:val="left"/>
      <w:pPr>
        <w:ind w:hanging="-1188" w:left="2268"/>
      </w:pPr>
    </w:lvl>
    <w:lvl w:ilvl="5">
      <w:start w:val="1"/>
      <w:numFmt w:val="decimal"/>
      <w:lvlText w:val="%1.%2.%3.%4.%5.%6."/>
      <w:lvlJc w:val="left"/>
      <w:pPr>
        <w:ind w:hanging="-1395" w:left="2475"/>
      </w:pPr>
    </w:lvl>
    <w:lvl w:ilvl="6">
      <w:start w:val="1"/>
      <w:numFmt w:val="decimal"/>
      <w:lvlText w:val="%1.%2.%3.%4.%5.%6.%7."/>
      <w:lvlJc w:val="left"/>
      <w:pPr>
        <w:ind w:hanging="-1602" w:left="3042"/>
      </w:pPr>
    </w:lvl>
    <w:lvl w:ilvl="7">
      <w:start w:val="1"/>
      <w:numFmt w:val="decimal"/>
      <w:lvlText w:val="%1.%2.%3.%4.%5.%6.%7.%8."/>
      <w:lvlJc w:val="left"/>
      <w:pPr>
        <w:ind w:hanging="-1808" w:left="3249"/>
      </w:pPr>
    </w:lvl>
    <w:lvl w:ilvl="8">
      <w:start w:val="1"/>
      <w:numFmt w:val="decimal"/>
      <w:lvlText w:val="%1.%2.%3.%4.%5.%6.%7.%8.%9."/>
      <w:lvlJc w:val="left"/>
      <w:pPr>
        <w:ind w:hanging="-2016" w:left="3816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bidi="hi-IN" w:eastAsia="zh-CN" w:val="pt-BR"/>
    </w:rPr>
  </w:style>
  <w:style w:styleId="style1" w:type="paragraph">
    <w:name w:val="Heading 1"/>
    <w:basedOn w:val="style23"/>
    <w:next w:val="style1"/>
    <w:pPr>
      <w:keepNext/>
      <w:keepLines/>
      <w:spacing w:after="120" w:before="400" w:line="100" w:lineRule="atLeast"/>
      <w:contextualSpacing/>
    </w:pPr>
    <w:rPr>
      <w:sz w:val="40"/>
      <w:szCs w:val="40"/>
    </w:rPr>
  </w:style>
  <w:style w:styleId="style2" w:type="paragraph">
    <w:name w:val="Heading 2"/>
    <w:basedOn w:val="style23"/>
    <w:next w:val="style2"/>
    <w:pPr>
      <w:keepNext/>
      <w:keepLines/>
      <w:spacing w:after="120" w:before="360" w:line="100" w:lineRule="atLeast"/>
      <w:contextualSpacing/>
    </w:pPr>
    <w:rPr>
      <w:b w:val="false"/>
      <w:sz w:val="32"/>
      <w:szCs w:val="32"/>
    </w:rPr>
  </w:style>
  <w:style w:styleId="style3" w:type="paragraph">
    <w:name w:val="Heading 3"/>
    <w:basedOn w:val="style23"/>
    <w:next w:val="style3"/>
    <w:pPr>
      <w:keepNext/>
      <w:keepLines/>
      <w:spacing w:after="80" w:before="320" w:line="100" w:lineRule="atLeast"/>
      <w:contextualSpacing/>
    </w:pPr>
    <w:rPr>
      <w:b w:val="false"/>
      <w:color w:val="434343"/>
      <w:sz w:val="28"/>
      <w:szCs w:val="28"/>
    </w:rPr>
  </w:style>
  <w:style w:styleId="style4" w:type="paragraph">
    <w:name w:val="Heading 4"/>
    <w:basedOn w:val="style23"/>
    <w:next w:val="style4"/>
    <w:pPr>
      <w:keepNext/>
      <w:keepLines/>
      <w:spacing w:after="80" w:before="280" w:line="100" w:lineRule="atLeast"/>
      <w:contextualSpacing/>
    </w:pPr>
    <w:rPr>
      <w:color w:val="666666"/>
      <w:sz w:val="24"/>
      <w:szCs w:val="24"/>
    </w:rPr>
  </w:style>
  <w:style w:styleId="style5" w:type="paragraph">
    <w:name w:val="Heading 5"/>
    <w:basedOn w:val="style23"/>
    <w:next w:val="style5"/>
    <w:pPr>
      <w:keepNext/>
      <w:keepLines/>
      <w:spacing w:after="80" w:before="240" w:line="100" w:lineRule="atLeast"/>
      <w:contextualSpacing/>
    </w:pPr>
    <w:rPr>
      <w:color w:val="666666"/>
      <w:sz w:val="22"/>
      <w:szCs w:val="22"/>
    </w:rPr>
  </w:style>
  <w:style w:styleId="style6" w:type="paragraph">
    <w:name w:val="Heading 6"/>
    <w:basedOn w:val="style23"/>
    <w:next w:val="style6"/>
    <w:pPr>
      <w:keepNext/>
      <w:keepLines/>
      <w:spacing w:after="80" w:before="240" w:line="100" w:lineRule="atLeast"/>
      <w:contextualSpacing/>
    </w:pPr>
    <w:rPr>
      <w:i/>
      <w:color w:val="666666"/>
      <w:sz w:val="22"/>
      <w:szCs w:val="22"/>
    </w:rPr>
  </w:style>
  <w:style w:styleId="style15" w:type="character">
    <w:name w:val="ListLabel 1"/>
    <w:next w:val="style15"/>
    <w:rPr>
      <w:b/>
      <w:sz w:val="36"/>
      <w:szCs w:val="36"/>
    </w:rPr>
  </w:style>
  <w:style w:styleId="style16" w:type="character">
    <w:name w:val="ListLabel 2"/>
    <w:next w:val="style16"/>
    <w:rPr>
      <w:u w:val="none"/>
    </w:rPr>
  </w:style>
  <w:style w:styleId="style17" w:type="character">
    <w:name w:val="Internet Link"/>
    <w:next w:val="style17"/>
    <w:rPr>
      <w:color w:val="000080"/>
      <w:u w:val="single"/>
      <w:lang w:bidi="zxx-" w:eastAsia="zxx-" w:val="zxx-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Liberation Sans" w:cs="Lohit Devanagari" w:eastAsia="AR PL UMing HK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Lohit Devanagar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Devanagari"/>
    </w:rPr>
  </w:style>
  <w:style w:styleId="style23" w:type="paragraph">
    <w:name w:val="LO-normal"/>
    <w:next w:val="style23"/>
    <w:pPr>
      <w:keepNext/>
      <w:keepLines w:val="false"/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bidi="hi-IN" w:eastAsia="zh-CN" w:val="pt-BR"/>
    </w:rPr>
  </w:style>
  <w:style w:styleId="style24" w:type="paragraph">
    <w:name w:val="Title"/>
    <w:basedOn w:val="style23"/>
    <w:next w:val="style24"/>
    <w:pPr>
      <w:keepNext/>
      <w:keepLines/>
      <w:spacing w:after="60" w:before="0" w:line="100" w:lineRule="atLeast"/>
      <w:contextualSpacing/>
    </w:pPr>
    <w:rPr>
      <w:sz w:val="52"/>
      <w:szCs w:val="52"/>
    </w:rPr>
  </w:style>
  <w:style w:styleId="style25" w:type="paragraph">
    <w:name w:val="Subtitle"/>
    <w:basedOn w:val="style23"/>
    <w:next w:val="style25"/>
    <w:pPr>
      <w:keepNext/>
      <w:keepLines/>
      <w:spacing w:after="320" w:before="0" w:line="100" w:lineRule="atLeast"/>
      <w:contextualSpacing/>
    </w:pPr>
    <w:rPr>
      <w:rFonts w:ascii="Arial" w:cs="Arial" w:eastAsia="Arial" w:hAnsi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open?id=0B4QBBlowP6ChfldYY1d3TTJnVlZXZlhxWUpXLWFKZ083eWlDY2R5RnhJal9VQnk3ZTl2cEU&amp;authuser=0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