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60" w:before="0" w:line="256" w:lineRule="auto"/>
        <w:contextualSpacing w:val="false"/>
        <w:jc w:val="center"/>
      </w:pPr>
      <w:bookmarkStart w:id="0" w:name="h.9lg0xll9lusk"/>
      <w:bookmarkStart w:id="1" w:name="h.9lg0xll9lusk"/>
      <w:bookmarkEnd w:id="1"/>
      <w:r>
        <w:rPr/>
      </w:r>
    </w:p>
    <w:p>
      <w:pPr>
        <w:pStyle w:val="style0"/>
        <w:spacing w:after="160" w:before="0" w:line="256" w:lineRule="auto"/>
        <w:contextualSpacing w:val="false"/>
        <w:jc w:val="center"/>
      </w:pPr>
      <w:bookmarkStart w:id="2" w:name="h.51jou3y3tskr"/>
      <w:bookmarkStart w:id="3" w:name="h.51jou3y3tskr"/>
      <w:bookmarkEnd w:id="3"/>
      <w:r>
        <w:rPr/>
      </w:r>
    </w:p>
    <w:p>
      <w:pPr>
        <w:pStyle w:val="style0"/>
        <w:spacing w:after="160" w:before="0" w:line="256" w:lineRule="auto"/>
        <w:contextualSpacing w:val="false"/>
        <w:jc w:val="center"/>
      </w:pPr>
      <w:bookmarkStart w:id="4" w:name="h.imozmo1z97sa"/>
      <w:bookmarkStart w:id="5" w:name="h.imozmo1z97sa"/>
      <w:bookmarkEnd w:id="5"/>
      <w:r>
        <w:rPr/>
      </w:r>
    </w:p>
    <w:p>
      <w:pPr>
        <w:pStyle w:val="style0"/>
        <w:spacing w:after="160" w:before="0" w:line="256" w:lineRule="auto"/>
        <w:contextualSpacing w:val="false"/>
        <w:jc w:val="center"/>
      </w:pPr>
      <w:bookmarkStart w:id="6" w:name="h.bnz654ba37kt"/>
      <w:bookmarkEnd w:id="6"/>
      <w:r>
        <w:rPr>
          <w:rFonts w:ascii="Times New Roman" w:cs="Times New Roman" w:eastAsia="Times New Roman" w:hAnsi="Times New Roman"/>
          <w:b/>
          <w:sz w:val="72"/>
          <w:szCs w:val="72"/>
        </w:rPr>
        <w:t>Riscos para o projeto SDD - (Sistema de distribuição de disciplinas)</w:t>
      </w:r>
    </w:p>
    <w:p>
      <w:pPr>
        <w:pStyle w:val="style0"/>
        <w:spacing w:after="160" w:before="0" w:line="256" w:lineRule="auto"/>
        <w:contextualSpacing w:val="false"/>
        <w:jc w:val="right"/>
      </w:pPr>
      <w:bookmarkStart w:id="7" w:name="h.gjdgxs"/>
      <w:bookmarkEnd w:id="7"/>
      <w:r>
        <w:rPr>
          <w:rFonts w:ascii="Times New Roman" w:cs="Times New Roman" w:eastAsia="Times New Roman" w:hAnsi="Times New Roman"/>
          <w:b/>
          <w:sz w:val="48"/>
          <w:szCs w:val="48"/>
        </w:rPr>
        <w:t>versão 1.0.0</w:t>
      </w:r>
    </w:p>
    <w:p>
      <w:pPr>
        <w:pStyle w:val="style1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>
          <w:b/>
        </w:rPr>
        <w:t>Goiânia, 18 de outubro de 2015</w:t>
      </w:r>
    </w:p>
    <w:p>
      <w:pPr>
        <w:pStyle w:val="style0"/>
        <w:spacing w:after="0" w:before="0"/>
        <w:contextualSpacing w:val="false"/>
        <w:jc w:val="center"/>
      </w:pPr>
      <w:r>
        <w:rPr>
          <w:sz w:val="36"/>
          <w:szCs w:val="36"/>
        </w:rPr>
        <w:t>Revisões</w:t>
      </w:r>
    </w:p>
    <w:p>
      <w:pPr>
        <w:pStyle w:val="style0"/>
        <w:spacing w:after="0" w:before="0"/>
        <w:contextualSpacing w:val="false"/>
        <w:jc w:val="center"/>
      </w:pPr>
      <w:r>
        <w:rPr/>
      </w:r>
    </w:p>
    <w:tbl>
      <w:tblPr>
        <w:jc w:val="center"/>
        <w:tblInd w:type="dxa" w:w="100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1514"/>
        <w:gridCol w:w="1514"/>
        <w:gridCol w:w="2580"/>
        <w:gridCol w:w="3420"/>
      </w:tblGrid>
      <w:tr>
        <w:trPr>
          <w:cantSplit w:val="false"/>
        </w:trPr>
        <w:tc>
          <w:tcPr>
            <w:tcW w:type="dxa" w:w="15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CCCCCC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  <w:tc>
          <w:tcPr>
            <w:tcW w:type="dxa" w:w="15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CCCCCC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Versão</w:t>
            </w:r>
          </w:p>
        </w:tc>
        <w:tc>
          <w:tcPr>
            <w:tcW w:type="dxa" w:w="25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CCCCCC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Descrição</w:t>
            </w:r>
          </w:p>
        </w:tc>
        <w:tc>
          <w:tcPr>
            <w:tcW w:type="dxa" w:w="34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CCCCCC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Responsável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18/10/2015</w:t>
            </w:r>
          </w:p>
        </w:tc>
        <w:tc>
          <w:tcPr>
            <w:tcW w:type="dxa" w:w="15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1.0.0</w:t>
            </w:r>
          </w:p>
        </w:tc>
        <w:tc>
          <w:tcPr>
            <w:tcW w:type="dxa" w:w="25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Criação do documento</w:t>
            </w:r>
          </w:p>
        </w:tc>
        <w:tc>
          <w:tcPr>
            <w:tcW w:type="dxa" w:w="34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Lizandra Ottmann </w:t>
            </w:r>
          </w:p>
        </w:tc>
      </w:tr>
    </w:tbl>
    <w:p>
      <w:pPr>
        <w:pStyle w:val="style0"/>
        <w:spacing w:after="0" w:before="0"/>
        <w:contextualSpacing w:val="false"/>
        <w:jc w:val="center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1"/>
        <w:widowControl w:val="false"/>
        <w:numPr>
          <w:ilvl w:val="0"/>
          <w:numId w:val="2"/>
        </w:numPr>
        <w:spacing w:after="0" w:before="0" w:line="100" w:lineRule="atLeast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28"/>
          <w:szCs w:val="28"/>
        </w:rPr>
        <w:t>Riscos</w:t>
      </w:r>
    </w:p>
    <w:p>
      <w:pPr>
        <w:pStyle w:val="style0"/>
        <w:spacing w:after="0" w:before="0" w:line="100" w:lineRule="atLeast"/>
        <w:ind w:firstLine="360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3"/>
          <w:szCs w:val="23"/>
        </w:rPr>
        <w:t>Segue abaixo os riscos do projeto SDD - (Sistema de distribição de disciplinas) e sua prioridade de tratamento, probabilidade de ocorrência e Impacto.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15"/>
        <w:tblBorders>
          <w:top w:color="7295D2" w:space="0" w:sz="8" w:val="single"/>
          <w:left w:color="7295D2" w:space="0" w:sz="8" w:val="single"/>
          <w:bottom w:color="7295D2" w:space="0" w:sz="8" w:val="single"/>
          <w:insideH w:color="7295D2" w:space="0" w:sz="8" w:val="single"/>
          <w:right w:color="7295D2" w:space="0" w:sz="8" w:val="single"/>
          <w:insideV w:color="7295D2" w:space="0" w:sz="8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619"/>
        <w:gridCol w:w="2501"/>
        <w:gridCol w:w="1700"/>
        <w:gridCol w:w="940"/>
        <w:gridCol w:w="2260"/>
      </w:tblGrid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Código do Risco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Risco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Probabilidade de Ocorrência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Impacto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Prioridade de Tratamento (Probabilidade X Impacto)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RSC01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Indisponibilidade da equipe por motivos diversos.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9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RSC02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Mudança do escopo do projeto.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RSC03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Entrega do projeto fora do prazo.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4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RSC04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Mudança de requisitos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9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RSC05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Documentação desatualizada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RSC06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Indisponibilidade de recursos materiais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RSC07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Não comprometimento da equipe com o plano de projeto.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RSC08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Alocação de atividades fora do escopo do projeto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4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RSC09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Pouca ou nenhuma experiência em algum recurso e/ou tecnologia utilizada pela equipe técnica na realização de suas atividades.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80808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6</w:t>
            </w:r>
          </w:p>
        </w:tc>
      </w:tr>
      <w:tr>
        <w:trPr>
          <w:cantSplit w:val="false"/>
        </w:trPr>
        <w:tc>
          <w:tcPr>
            <w:tcW w:type="dxa" w:w="1619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 w:val="false"/>
                <w:color w:val="000000"/>
                <w:sz w:val="23"/>
                <w:szCs w:val="23"/>
              </w:rPr>
              <w:t>RSC10</w:t>
            </w:r>
          </w:p>
        </w:tc>
        <w:tc>
          <w:tcPr>
            <w:tcW w:type="dxa" w:w="2501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Alocação de requisitos não aprovados no projeto</w:t>
            </w:r>
          </w:p>
        </w:tc>
        <w:tc>
          <w:tcPr>
            <w:tcW w:type="dxa" w:w="170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type="dxa" w:w="94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type="dxa" w:w="2260"/>
            <w:tcBorders>
              <w:top w:color="7295D2" w:space="0" w:sz="8" w:val="single"/>
              <w:left w:color="7295D2" w:space="0" w:sz="8" w:val="single"/>
              <w:bottom w:color="7295D2" w:space="0" w:sz="8" w:val="single"/>
              <w:right w:color="7295D2" w:space="0" w:sz="8" w:val="single"/>
            </w:tcBorders>
            <w:shd w:fill="C0C0C0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  <w:t>3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</w:pPr>
      <w:r>
        <w:rPr/>
      </w:r>
    </w:p>
    <w:p>
      <w:pPr>
        <w:pStyle w:val="style0"/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</w:rPr>
        <w:t>Para definir a probabilidade e o impacto de cada risco, a seguinte escala deve ser utilizada:</w:t>
      </w:r>
    </w:p>
    <w:tbl>
      <w:tblPr>
        <w:jc w:val="center"/>
        <w:tblInd w:type="dxa" w:w="10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105"/>
          <w:left w:type="dxa" w:w="100"/>
          <w:bottom w:type="dxa" w:w="105"/>
          <w:right w:type="dxa" w:w="105"/>
        </w:tblCellMar>
      </w:tblPr>
      <w:tblGrid>
        <w:gridCol w:w="4668"/>
        <w:gridCol w:w="4098"/>
      </w:tblGrid>
      <w:tr>
        <w:trPr>
          <w:trHeight w:hRule="atLeast" w:val="1800"/>
          <w:cantSplit w:val="false"/>
        </w:trPr>
        <w:tc>
          <w:tcPr>
            <w:tcW w:type="dxa" w:w="46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Probabilidade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  <w:tbl>
            <w:tblPr>
              <w:jc w:val="left"/>
              <w:tblInd w:type="dxa" w:w="2"/>
              <w:tblBorders>
                <w:top w:color="7295D2" w:space="0" w:sz="8" w:val="single"/>
                <w:left w:color="7295D2" w:space="0" w:sz="8" w:val="single"/>
                <w:bottom w:color="7295D2" w:space="0" w:sz="8" w:val="single"/>
                <w:insideH w:color="7295D2" w:space="0" w:sz="8" w:val="single"/>
                <w:right w:color="7295D2" w:space="0" w:sz="8" w:val="single"/>
                <w:insideV w:color="7295D2" w:space="0" w:sz="8" w:val="single"/>
              </w:tblBorders>
              <w:tblCellMar>
                <w:top w:type="dxa" w:w="0"/>
                <w:left w:type="dxa" w:w="107"/>
                <w:bottom w:type="dxa" w:w="0"/>
                <w:right w:type="dxa" w:w="108"/>
              </w:tblCellMar>
            </w:tblPr>
            <w:tblGrid>
              <w:gridCol w:w="721"/>
              <w:gridCol w:w="873"/>
              <w:gridCol w:w="1518"/>
            </w:tblGrid>
            <w:tr>
              <w:trPr>
                <w:trHeight w:hRule="atLeast" w:val="200"/>
                <w:cantSplit w:val="false"/>
              </w:trPr>
              <w:tc>
                <w:tcPr>
                  <w:tcW w:type="dxa" w:w="721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Nota</w:t>
                  </w:r>
                </w:p>
              </w:tc>
              <w:tc>
                <w:tcPr>
                  <w:tcW w:type="dxa" w:w="873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Grau</w:t>
                  </w:r>
                </w:p>
              </w:tc>
              <w:tc>
                <w:tcPr>
                  <w:tcW w:type="dxa" w:w="1518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Chances (%)</w:t>
                  </w:r>
                </w:p>
              </w:tc>
            </w:tr>
            <w:tr>
              <w:trPr>
                <w:trHeight w:hRule="atLeast" w:val="200"/>
                <w:cantSplit w:val="false"/>
              </w:trPr>
              <w:tc>
                <w:tcPr>
                  <w:tcW w:type="dxa" w:w="721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type="dxa" w:w="873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Baixa</w:t>
                  </w:r>
                </w:p>
              </w:tc>
              <w:tc>
                <w:tcPr>
                  <w:tcW w:type="dxa" w:w="1518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0 a 40</w:t>
                  </w:r>
                </w:p>
              </w:tc>
            </w:tr>
            <w:tr>
              <w:trPr>
                <w:trHeight w:hRule="atLeast" w:val="200"/>
                <w:cantSplit w:val="false"/>
              </w:trPr>
              <w:tc>
                <w:tcPr>
                  <w:tcW w:type="dxa" w:w="721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type="dxa" w:w="873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Média</w:t>
                  </w:r>
                </w:p>
              </w:tc>
              <w:tc>
                <w:tcPr>
                  <w:tcW w:type="dxa" w:w="1518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41 a 70</w:t>
                  </w:r>
                </w:p>
              </w:tc>
            </w:tr>
            <w:tr>
              <w:trPr>
                <w:trHeight w:hRule="atLeast" w:val="200"/>
                <w:cantSplit w:val="false"/>
              </w:trPr>
              <w:tc>
                <w:tcPr>
                  <w:tcW w:type="dxa" w:w="721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type="dxa" w:w="873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Alta</w:t>
                  </w:r>
                </w:p>
              </w:tc>
              <w:tc>
                <w:tcPr>
                  <w:tcW w:type="dxa" w:w="1518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71 a 100</w:t>
                  </w:r>
                </w:p>
              </w:tc>
            </w:tr>
          </w:tbl>
          <w:p>
            <w:pPr>
              <w:pStyle w:val="style0"/>
              <w:spacing w:after="160" w:before="0" w:line="256" w:lineRule="auto"/>
              <w:contextualSpacing w:val="false"/>
            </w:pPr>
            <w:r>
              <w:rPr/>
            </w:r>
          </w:p>
        </w:tc>
        <w:tc>
          <w:tcPr>
            <w:tcW w:type="dxa" w:w="40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Impacto</w:t>
            </w:r>
          </w:p>
          <w:tbl>
            <w:tblPr>
              <w:jc w:val="left"/>
              <w:tblInd w:type="dxa" w:w="2"/>
              <w:tblBorders>
                <w:top w:color="7295D2" w:space="0" w:sz="8" w:val="single"/>
                <w:left w:color="7295D2" w:space="0" w:sz="8" w:val="single"/>
                <w:bottom w:color="7295D2" w:space="0" w:sz="8" w:val="single"/>
                <w:insideH w:color="7295D2" w:space="0" w:sz="8" w:val="single"/>
                <w:right w:color="7295D2" w:space="0" w:sz="8" w:val="single"/>
                <w:insideV w:color="7295D2" w:space="0" w:sz="8" w:val="single"/>
              </w:tblBorders>
              <w:tblCellMar>
                <w:top w:type="dxa" w:w="0"/>
                <w:left w:type="dxa" w:w="107"/>
                <w:bottom w:type="dxa" w:w="0"/>
                <w:right w:type="dxa" w:w="108"/>
              </w:tblCellMar>
            </w:tblPr>
            <w:tblGrid>
              <w:gridCol w:w="706"/>
              <w:gridCol w:w="870"/>
            </w:tblGrid>
            <w:tr>
              <w:trPr>
                <w:trHeight w:hRule="atLeast" w:val="180"/>
                <w:cantSplit w:val="false"/>
              </w:trPr>
              <w:tc>
                <w:tcPr>
                  <w:tcW w:type="dxa" w:w="706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Nota</w:t>
                  </w:r>
                </w:p>
              </w:tc>
              <w:tc>
                <w:tcPr>
                  <w:tcW w:type="dxa" w:w="870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Grau</w:t>
                  </w:r>
                </w:p>
              </w:tc>
            </w:tr>
            <w:tr>
              <w:trPr>
                <w:trHeight w:hRule="atLeast" w:val="180"/>
                <w:cantSplit w:val="false"/>
              </w:trPr>
              <w:tc>
                <w:tcPr>
                  <w:tcW w:type="dxa" w:w="706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type="dxa" w:w="870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Baixo</w:t>
                  </w:r>
                </w:p>
              </w:tc>
            </w:tr>
            <w:tr>
              <w:trPr>
                <w:trHeight w:hRule="atLeast" w:val="180"/>
                <w:cantSplit w:val="false"/>
              </w:trPr>
              <w:tc>
                <w:tcPr>
                  <w:tcW w:type="dxa" w:w="706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type="dxa" w:w="870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C0C0C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Médio</w:t>
                  </w:r>
                </w:p>
              </w:tc>
            </w:tr>
            <w:tr>
              <w:trPr>
                <w:trHeight w:hRule="atLeast" w:val="180"/>
                <w:cantSplit w:val="false"/>
              </w:trPr>
              <w:tc>
                <w:tcPr>
                  <w:tcW w:type="dxa" w:w="706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 w:val="false"/>
                      <w:color w:val="00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type="dxa" w:w="870"/>
                  <w:tcBorders>
                    <w:top w:color="7295D2" w:space="0" w:sz="8" w:val="single"/>
                    <w:left w:color="7295D2" w:space="0" w:sz="8" w:val="single"/>
                    <w:bottom w:color="7295D2" w:space="0" w:sz="8" w:val="single"/>
                    <w:right w:color="7295D2" w:space="0" w:sz="8" w:val="single"/>
                  </w:tcBorders>
                  <w:shd w:fill="808080" w:val="clear"/>
                  <w:tcMar>
                    <w:left w:type="dxa" w:w="107"/>
                  </w:tcMar>
                </w:tcPr>
                <w:p>
                  <w:pPr>
                    <w:pStyle w:val="style0"/>
                    <w:spacing w:after="0" w:before="0" w:line="100" w:lineRule="atLeast"/>
                    <w:contextualSpacing w:val="false"/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</w:rPr>
                    <w:t>Alto</w:t>
                  </w:r>
                </w:p>
              </w:tc>
            </w:tr>
          </w:tbl>
          <w:p>
            <w:pPr>
              <w:pStyle w:val="style0"/>
              <w:spacing w:after="160" w:before="0" w:line="256" w:lineRule="auto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ind w:firstLine="720" w:left="0" w:right="0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ind w:firstLine="360" w:left="0" w:right="0"/>
        <w:contextualSpacing w:val="false"/>
      </w:pPr>
      <w:r>
        <w:rPr/>
      </w:r>
    </w:p>
    <w:p>
      <w:pPr>
        <w:pStyle w:val="style1"/>
        <w:widowControl w:val="false"/>
        <w:numPr>
          <w:ilvl w:val="0"/>
          <w:numId w:val="2"/>
        </w:numPr>
        <w:spacing w:after="0" w:before="0" w:line="100" w:lineRule="atLeast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24"/>
          <w:szCs w:val="24"/>
        </w:rPr>
        <w:t>Matriz de Probabilidade x Impacto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center"/>
        <w:tblInd w:type="dxa" w:w="75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4" w:val="single"/>
          <w:insideV w:color="000001" w:space="0" w:sz="4" w:val="single"/>
        </w:tblBorders>
        <w:tblCellMar>
          <w:top w:type="dxa" w:w="105"/>
          <w:left w:type="dxa" w:w="67"/>
          <w:bottom w:type="dxa" w:w="105"/>
          <w:right w:type="dxa" w:w="75"/>
        </w:tblCellMar>
      </w:tblPr>
      <w:tblGrid>
        <w:gridCol w:w="1496"/>
        <w:gridCol w:w="567"/>
        <w:gridCol w:w="567"/>
        <w:gridCol w:w="567"/>
        <w:gridCol w:w="176"/>
        <w:gridCol w:w="183"/>
      </w:tblGrid>
      <w:tr>
        <w:trPr>
          <w:trHeight w:hRule="atLeast" w:val="200"/>
          <w:cantSplit w:val="false"/>
        </w:trPr>
        <w:tc>
          <w:tcPr>
            <w:tcW w:type="dxa" w:w="1496"/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4" w:val="single"/>
            </w:tcBorders>
            <w:shd w:fill="CCCCCC" w:val="clear"/>
            <w:tcMar>
              <w:left w:type="dxa" w:w="67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Probabilidade</w:t>
            </w:r>
          </w:p>
        </w:tc>
        <w:tc>
          <w:tcPr>
            <w:tcW w:type="dxa" w:w="567"/>
            <w:gridSpan w:val="2"/>
            <w:tcBorders>
              <w:top w:val="none"/>
              <w:left w:color="000001" w:space="0" w:sz="4" w:val="single"/>
              <w:bottom w:val="none"/>
              <w:right w:val="none"/>
            </w:tcBorders>
            <w:shd w:fill="FFFFFF" w:val="clear"/>
            <w:tcMar>
              <w:left w:type="dxa" w:w="70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56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56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7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420"/>
          <w:cantSplit w:val="false"/>
        </w:trPr>
        <w:tc>
          <w:tcPr>
            <w:tcW w:type="dxa" w:w="59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type="dxa" w:w="593"/>
            <w:tcBorders>
              <w:top w:val="none"/>
              <w:left w:color="000001" w:space="0" w:sz="6" w:val="single"/>
              <w:bottom w:color="000001" w:space="0" w:sz="4" w:val="single"/>
              <w:right w:color="000001" w:space="0" w:sz="4" w:val="single"/>
            </w:tcBorders>
            <w:shd w:fill="FFC000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33</w:t>
            </w:r>
          </w:p>
        </w:tc>
        <w:tc>
          <w:tcPr>
            <w:tcW w:type="dxa" w:w="593"/>
            <w:gridSpan w:val="2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00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66</w:t>
            </w:r>
          </w:p>
        </w:tc>
        <w:tc>
          <w:tcPr>
            <w:tcW w:type="dxa" w:w="1778"/>
            <w:gridSpan w:val="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000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99</w:t>
            </w:r>
          </w:p>
        </w:tc>
      </w:tr>
      <w:tr>
        <w:trPr>
          <w:trHeight w:hRule="atLeast" w:val="420"/>
          <w:cantSplit w:val="false"/>
        </w:trPr>
        <w:tc>
          <w:tcPr>
            <w:tcW w:type="dxa" w:w="59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type="dxa" w:w="593"/>
            <w:tcBorders>
              <w:top w:color="000001" w:space="0" w:sz="4" w:val="single"/>
              <w:left w:color="000001" w:space="0" w:sz="6" w:val="single"/>
              <w:bottom w:color="000001" w:space="0" w:sz="4" w:val="single"/>
              <w:right w:color="000001" w:space="0" w:sz="4" w:val="single"/>
            </w:tcBorders>
            <w:shd w:fill="00B0F0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22</w:t>
            </w:r>
          </w:p>
        </w:tc>
        <w:tc>
          <w:tcPr>
            <w:tcW w:type="dxa" w:w="59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00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44</w:t>
            </w:r>
          </w:p>
        </w:tc>
        <w:tc>
          <w:tcPr>
            <w:tcW w:type="dxa" w:w="1778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00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66</w:t>
            </w:r>
          </w:p>
        </w:tc>
      </w:tr>
      <w:tr>
        <w:trPr>
          <w:trHeight w:hRule="atLeast" w:val="340"/>
          <w:cantSplit w:val="false"/>
        </w:trPr>
        <w:tc>
          <w:tcPr>
            <w:tcW w:type="dxa" w:w="59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type="dxa" w:w="593"/>
            <w:tcBorders>
              <w:top w:color="000001" w:space="0" w:sz="4" w:val="single"/>
              <w:left w:color="000001" w:space="0" w:sz="6" w:val="single"/>
              <w:bottom w:color="000001" w:space="0" w:sz="4" w:val="single"/>
              <w:right w:color="000001" w:space="0" w:sz="4" w:val="single"/>
            </w:tcBorders>
            <w:shd w:fill="00B0F0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11</w:t>
            </w:r>
          </w:p>
        </w:tc>
        <w:tc>
          <w:tcPr>
            <w:tcW w:type="dxa" w:w="59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B0F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22</w:t>
            </w:r>
          </w:p>
        </w:tc>
        <w:tc>
          <w:tcPr>
            <w:tcW w:type="dxa" w:w="1778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000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33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59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CCCCC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Impacto</w:t>
            </w:r>
          </w:p>
        </w:tc>
        <w:tc>
          <w:tcPr>
            <w:tcW w:type="dxa" w:w="593"/>
            <w:tcBorders>
              <w:top w:color="000001" w:space="0" w:sz="4" w:val="single"/>
              <w:left w:color="000001" w:space="0" w:sz="6" w:val="single"/>
              <w:bottom w:color="000001" w:space="0" w:sz="6" w:val="single"/>
              <w:right w:color="000001" w:space="0" w:sz="4" w:val="single"/>
            </w:tcBorders>
            <w:shd w:fill="FFFFFF" w:val="clear"/>
            <w:tcMar>
              <w:left w:type="dxa" w:w="67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21</w:t>
            </w:r>
          </w:p>
        </w:tc>
        <w:tc>
          <w:tcPr>
            <w:tcW w:type="dxa" w:w="593"/>
            <w:gridSpan w:val="2"/>
            <w:tcBorders>
              <w:top w:color="000001" w:space="0" w:sz="4" w:val="single"/>
              <w:left w:color="000001" w:space="0" w:sz="4" w:val="single"/>
              <w:bottom w:color="000001" w:space="0" w:sz="6" w:val="single"/>
              <w:right w:color="000001" w:space="0" w:sz="4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22</w:t>
            </w:r>
          </w:p>
        </w:tc>
        <w:tc>
          <w:tcPr>
            <w:tcW w:type="dxa" w:w="1778"/>
            <w:gridSpan w:val="5"/>
            <w:tcBorders>
              <w:top w:color="000001" w:space="0" w:sz="4" w:val="single"/>
              <w:left w:color="000001" w:space="0" w:sz="4" w:val="single"/>
              <w:bottom w:color="000001" w:space="0" w:sz="6" w:val="single"/>
              <w:right w:color="000001" w:space="0" w:sz="4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33</w:t>
            </w:r>
          </w:p>
        </w:tc>
      </w:tr>
    </w:tbl>
    <w:p>
      <w:pPr>
        <w:pStyle w:val="style0"/>
        <w:spacing w:after="0" w:before="0" w:line="100" w:lineRule="atLeast"/>
        <w:ind w:firstLine="360" w:left="0" w:right="0"/>
        <w:contextualSpacing w:val="false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Legenda:</w:t>
      </w:r>
    </w:p>
    <w:p>
      <w:pPr>
        <w:pStyle w:val="style0"/>
        <w:numPr>
          <w:ilvl w:val="0"/>
          <w:numId w:val="1"/>
        </w:numPr>
        <w:spacing w:after="0" w:before="0" w:line="100" w:lineRule="atLeast"/>
        <w:ind w:hanging="360" w:left="1068" w:right="0"/>
        <w:contextualSpacing/>
      </w:pPr>
      <w:r>
        <w:rPr>
          <w:rFonts w:ascii="Times New Roman" w:cs="Times New Roman" w:eastAsia="Times New Roman" w:hAnsi="Times New Roman"/>
          <w:sz w:val="24"/>
          <w:szCs w:val="24"/>
          <w:shd w:fill="FF0000" w:val="clear"/>
        </w:rPr>
        <w:t>Vermelho</w:t>
      </w:r>
      <w:r>
        <w:rPr>
          <w:rFonts w:ascii="Times New Roman" w:cs="Times New Roman" w:eastAsia="Times New Roman" w:hAnsi="Times New Roman"/>
          <w:sz w:val="23"/>
          <w:szCs w:val="23"/>
          <w:shd w:fill="FF0000" w:val="clear"/>
        </w:rPr>
        <w:t>:</w:t>
      </w:r>
      <w:r>
        <w:rPr>
          <w:rFonts w:ascii="Times New Roman" w:cs="Times New Roman" w:eastAsia="Times New Roman" w:hAnsi="Times New Roman"/>
          <w:sz w:val="23"/>
          <w:szCs w:val="23"/>
        </w:rPr>
        <w:t xml:space="preserve"> risco elevado;</w:t>
      </w:r>
    </w:p>
    <w:p>
      <w:pPr>
        <w:pStyle w:val="style0"/>
        <w:numPr>
          <w:ilvl w:val="0"/>
          <w:numId w:val="1"/>
        </w:numPr>
        <w:spacing w:after="0" w:before="0" w:line="100" w:lineRule="atLeast"/>
        <w:ind w:hanging="360" w:left="1068" w:right="0"/>
        <w:contextualSpacing/>
      </w:pPr>
      <w:r>
        <w:rPr>
          <w:rFonts w:ascii="Times New Roman" w:cs="Times New Roman" w:eastAsia="Times New Roman" w:hAnsi="Times New Roman"/>
          <w:sz w:val="23"/>
          <w:szCs w:val="23"/>
          <w:shd w:fill="FFC000" w:val="clear"/>
        </w:rPr>
        <w:t>Laranja</w:t>
      </w:r>
      <w:r>
        <w:rPr>
          <w:rFonts w:ascii="Times New Roman" w:cs="Times New Roman" w:eastAsia="Times New Roman" w:hAnsi="Times New Roman"/>
          <w:sz w:val="23"/>
          <w:szCs w:val="23"/>
        </w:rPr>
        <w:t xml:space="preserve">: risco médio; </w:t>
      </w:r>
    </w:p>
    <w:p>
      <w:pPr>
        <w:pStyle w:val="style0"/>
        <w:numPr>
          <w:ilvl w:val="0"/>
          <w:numId w:val="1"/>
        </w:numPr>
        <w:spacing w:after="0" w:before="0" w:line="100" w:lineRule="atLeast"/>
        <w:ind w:hanging="360" w:left="1068" w:right="0"/>
        <w:contextualSpacing/>
      </w:pPr>
      <w:r>
        <w:rPr>
          <w:rFonts w:ascii="Times New Roman" w:cs="Times New Roman" w:eastAsia="Times New Roman" w:hAnsi="Times New Roman"/>
          <w:sz w:val="23"/>
          <w:szCs w:val="23"/>
          <w:shd w:fill="00B0F0" w:val="clear"/>
        </w:rPr>
        <w:t>Azul:</w:t>
      </w:r>
      <w:r>
        <w:rPr>
          <w:rFonts w:ascii="Times New Roman" w:cs="Times New Roman" w:eastAsia="Times New Roman" w:hAnsi="Times New Roman"/>
          <w:sz w:val="23"/>
          <w:szCs w:val="23"/>
        </w:rPr>
        <w:t xml:space="preserve"> risco baixo.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1"/>
        <w:widowControl w:val="false"/>
        <w:numPr>
          <w:ilvl w:val="0"/>
          <w:numId w:val="2"/>
        </w:numPr>
        <w:spacing w:after="0" w:before="0" w:line="100" w:lineRule="atLeast"/>
        <w:ind w:hanging="360" w:left="720" w:right="0"/>
        <w:contextualSpacing/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Priorização</w:t>
      </w:r>
    </w:p>
    <w:p>
      <w:pPr>
        <w:pStyle w:val="style0"/>
        <w:spacing w:after="0" w:before="0" w:line="100" w:lineRule="atLeast"/>
        <w:ind w:firstLine="720" w:left="0" w:right="0"/>
        <w:contextualSpacing w:val="false"/>
      </w:pPr>
      <w:r>
        <w:rPr>
          <w:rFonts w:ascii="Times New Roman" w:cs="Times New Roman" w:eastAsia="Times New Roman" w:hAnsi="Times New Roman"/>
          <w:sz w:val="23"/>
          <w:szCs w:val="23"/>
        </w:rPr>
        <w:t>O grau da priorização de um risco será da seguinte forma</w:t>
      </w:r>
    </w:p>
    <w:p>
      <w:pPr>
        <w:pStyle w:val="style0"/>
        <w:spacing w:after="0" w:before="0" w:line="100" w:lineRule="atLeast"/>
        <w:ind w:firstLine="720" w:left="0" w:right="0"/>
        <w:contextualSpacing w:val="false"/>
      </w:pPr>
      <w:r>
        <w:rPr/>
      </w:r>
    </w:p>
    <w:tbl>
      <w:tblPr>
        <w:jc w:val="center"/>
        <w:tblInd w:type="dxa" w:w="120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0"/>
          <w:left w:type="dxa" w:w="112"/>
          <w:bottom w:type="dxa" w:w="0"/>
          <w:right w:type="dxa" w:w="120"/>
        </w:tblCellMar>
      </w:tblPr>
      <w:tblGrid>
        <w:gridCol w:w="1440"/>
        <w:gridCol w:w="1184"/>
      </w:tblGrid>
      <w:tr>
        <w:trPr>
          <w:cantSplit w:val="false"/>
        </w:trPr>
        <w:tc>
          <w:tcPr>
            <w:tcW w:type="dxa" w:w="14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0000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hd w:fill="FF0000" w:val="clear"/>
              </w:rPr>
              <w:t>Vermelho</w:t>
            </w:r>
          </w:p>
        </w:tc>
        <w:tc>
          <w:tcPr>
            <w:tcW w:type="dxa" w:w="11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Alta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C000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hd w:fill="FFC000" w:val="clear"/>
              </w:rPr>
              <w:t>Laranja</w:t>
            </w:r>
          </w:p>
        </w:tc>
        <w:tc>
          <w:tcPr>
            <w:tcW w:type="dxa" w:w="11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Média</w:t>
            </w:r>
          </w:p>
        </w:tc>
      </w:tr>
      <w:tr>
        <w:trPr>
          <w:cantSplit w:val="false"/>
        </w:trPr>
        <w:tc>
          <w:tcPr>
            <w:tcW w:type="dxa" w:w="14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B0F0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hd w:fill="00B0F0" w:val="clear"/>
              </w:rPr>
              <w:t>Azul</w:t>
            </w:r>
          </w:p>
        </w:tc>
        <w:tc>
          <w:tcPr>
            <w:tcW w:type="dxa" w:w="118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Baixa</w:t>
            </w:r>
          </w:p>
        </w:tc>
      </w:tr>
    </w:tbl>
    <w:p>
      <w:pPr>
        <w:pStyle w:val="style0"/>
        <w:spacing w:after="0" w:before="0" w:line="100" w:lineRule="atLeast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708" w:left="1068"/>
      </w:pPr>
      <w:rPr>
        <w:rFonts w:ascii="Arial" w:cs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hanging="-1428" w:left="1788"/>
      </w:pPr>
      <w:rPr>
        <w:rFonts w:ascii="Arial" w:cs="Arial" w:hAnsi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hanging="-2148" w:left="2508"/>
      </w:pPr>
      <w:rPr>
        <w:rFonts w:ascii="Arial" w:cs="Arial" w:hAnsi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hanging="-2868" w:left="3228"/>
      </w:pPr>
      <w:rPr>
        <w:rFonts w:ascii="Arial" w:cs="Arial" w:hAnsi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hanging="-3588" w:left="3948"/>
      </w:pPr>
      <w:rPr>
        <w:rFonts w:ascii="Arial" w:cs="Arial" w:hAnsi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hanging="-4308" w:left="4668"/>
      </w:pPr>
      <w:rPr>
        <w:rFonts w:ascii="Arial" w:cs="Arial" w:hAnsi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hanging="-5028" w:left="5388"/>
      </w:pPr>
      <w:rPr>
        <w:rFonts w:ascii="Arial" w:cs="Arial" w:hAnsi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hanging="-5748" w:left="6108"/>
      </w:pPr>
      <w:rPr>
        <w:rFonts w:ascii="Arial" w:cs="Arial" w:hAnsi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hanging="-6468" w:left="6828"/>
      </w:pPr>
      <w:rPr>
        <w:rFonts w:ascii="Arial" w:cs="Arial" w:hAnsi="Arial" w:hint="default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hanging="-360" w:left="720"/>
      </w:pPr>
      <w:rPr>
        <w:color w:val="0070C0"/>
        <w:b/>
      </w:rPr>
    </w:lvl>
    <w:lvl w:ilvl="1">
      <w:start w:val="1"/>
      <w:numFmt w:val="lowerLetter"/>
      <w:lvlText w:val="%2."/>
      <w:lvlJc w:val="left"/>
      <w:pPr>
        <w:ind w:hanging="-1080" w:left="1440"/>
      </w:pPr>
    </w:lvl>
    <w:lvl w:ilvl="2">
      <w:start w:val="1"/>
      <w:numFmt w:val="lowerRoman"/>
      <w:lvlText w:val="%3."/>
      <w:lvlJc w:val="right"/>
      <w:pPr>
        <w:ind w:hanging="-1980" w:left="2160"/>
      </w:pPr>
    </w:lvl>
    <w:lvl w:ilvl="3">
      <w:start w:val="1"/>
      <w:numFmt w:val="decimal"/>
      <w:lvlText w:val="%4."/>
      <w:lvlJc w:val="left"/>
      <w:pPr>
        <w:ind w:hanging="-2520" w:left="2880"/>
      </w:pPr>
    </w:lvl>
    <w:lvl w:ilvl="4">
      <w:start w:val="1"/>
      <w:numFmt w:val="lowerLetter"/>
      <w:lvlText w:val="%5."/>
      <w:lvlJc w:val="left"/>
      <w:pPr>
        <w:ind w:hanging="-3240" w:left="3600"/>
      </w:pPr>
    </w:lvl>
    <w:lvl w:ilvl="5">
      <w:start w:val="1"/>
      <w:numFmt w:val="lowerRoman"/>
      <w:lvlText w:val="%6."/>
      <w:lvlJc w:val="right"/>
      <w:pPr>
        <w:ind w:hanging="-4140" w:left="4320"/>
      </w:pPr>
    </w:lvl>
    <w:lvl w:ilvl="6">
      <w:start w:val="1"/>
      <w:numFmt w:val="decimal"/>
      <w:lvlText w:val="%7."/>
      <w:lvlJc w:val="left"/>
      <w:pPr>
        <w:ind w:hanging="-4680" w:left="5040"/>
      </w:pPr>
    </w:lvl>
    <w:lvl w:ilvl="7">
      <w:start w:val="1"/>
      <w:numFmt w:val="lowerLetter"/>
      <w:lvlText w:val="%8."/>
      <w:lvlJc w:val="left"/>
      <w:pPr>
        <w:ind w:hanging="-5400" w:left="5760"/>
      </w:pPr>
    </w:lvl>
    <w:lvl w:ilvl="8">
      <w:start w:val="1"/>
      <w:numFmt w:val="lowerRoman"/>
      <w:lvlText w:val="%9."/>
      <w:lvlJc w:val="right"/>
      <w:pPr>
        <w:ind w:hanging="-630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basedOn w:val="style22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2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2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rFonts w:cs="Arial" w:eastAsia="Arial"/>
      <w:sz w:val="20"/>
      <w:szCs w:val="20"/>
    </w:rPr>
  </w:style>
  <w:style w:styleId="style16" w:type="character">
    <w:name w:val="ListLabel 2"/>
    <w:next w:val="style16"/>
    <w:rPr>
      <w:b/>
      <w:color w:val="0070C0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O-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3" w:type="paragraph">
    <w:name w:val="Title"/>
    <w:basedOn w:val="style22"/>
    <w:next w:val="style23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4" w:type="paragraph">
    <w:name w:val="Subtitle"/>
    <w:basedOn w:val="style22"/>
    <w:next w:val="style24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