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037F0" w14:textId="77777777" w:rsidR="00764B3A" w:rsidRPr="00AE567F" w:rsidRDefault="00655228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简易 HDR 样本 (DirectX 12)</w:t>
      </w:r>
    </w:p>
    <w:p w14:paraId="4D4FA4E6" w14:textId="77777777" w:rsidR="00180496" w:rsidRDefault="00180496" w:rsidP="00180496">
      <w:pPr>
        <w:pStyle w:val="Heading1"/>
        <w:spacing w:before="0"/>
        <w:rPr>
          <w:i/>
          <w:color w:val="auto"/>
          <w:sz w:val="20"/>
          <w:szCs w:val="22"/>
          <w:rFonts w:eastAsiaTheme="minorHAnsi" w:cs="Times New Roman" w:hint="eastAsia"/>
        </w:rPr>
      </w:pPr>
      <w:r>
        <w:rPr>
          <w:i/>
          <w:color w:val="auto"/>
          <w:sz w:val="20"/>
          <w:szCs w:val="22"/>
          <w:rFonts w:hint="eastAsia"/>
        </w:rPr>
        <w:t xml:space="preserve">此样本与 Windows 10 October 2018 Update SDK (17763) 兼容</w:t>
      </w:r>
    </w:p>
    <w:p w14:paraId="7D05572B" w14:textId="77777777" w:rsidR="003A439E" w:rsidRPr="003A439E" w:rsidRDefault="003A439E" w:rsidP="003A439E">
      <w:pPr>
        <w:rPr>
          <w:rFonts w:hint="eastAsia"/>
        </w:rPr>
      </w:pPr>
    </w:p>
    <w:p w14:paraId="0031EE1C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16886B9C" w14:textId="77777777" w:rsidR="00362341" w:rsidRDefault="00362341" w:rsidP="00362341">
      <w:pPr>
        <w:rPr>
          <w:rFonts w:hint="eastAsia"/>
        </w:rPr>
      </w:pPr>
      <w:r>
        <w:rPr>
          <w:rFonts w:hint="eastAsia"/>
        </w:rPr>
        <w:t xml:space="preserve">此样本渲染的 HDR 场景数值高于 1.0f，在带支持视频系统（或标准显示器上的色调映射）且支持 UHD 的显示器上显示的亮度将高于白色与支持的视频系统。</w:t>
      </w:r>
      <w:r>
        <w:rPr>
          <w:rFonts w:hint="eastAsia"/>
        </w:rPr>
        <w:t xml:space="preserve">样本的目标是展示要使用的 API、如何创建 HDR 交换链，以及 UHD TV 上大于 1.0f 的不同数值。</w:t>
      </w:r>
    </w:p>
    <w:p w14:paraId="0A95056F" w14:textId="77777777" w:rsidR="00655228" w:rsidRDefault="00655228" w:rsidP="00281D12"/>
    <w:p w14:paraId="11FE394B" w14:textId="77777777" w:rsidR="00655228" w:rsidRDefault="006A2A9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5A6C343D" wp14:editId="041CEFD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A03B" w14:textId="77777777" w:rsidR="00281D12" w:rsidRDefault="00281D12" w:rsidP="00281D12"/>
    <w:p w14:paraId="5757ED5A" w14:textId="77777777" w:rsidR="00AE567F" w:rsidRPr="00AE567F" w:rsidRDefault="006A2A92" w:rsidP="00AE567F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652AB3BF" wp14:editId="323E84A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73A7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2E16C554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3A9D046D" w14:textId="77777777" w:rsidR="00281D12" w:rsidRDefault="006A2A92" w:rsidP="00281D12">
      <w:pPr>
        <w:rPr>
          <w:rFonts w:hint="eastAsia"/>
        </w:rPr>
      </w:pPr>
      <w:r>
        <w:rPr>
          <w:rFonts w:hint="eastAsia"/>
        </w:rPr>
        <w:t xml:space="preserve">该样本将使用以下控件。</w:t>
      </w:r>
    </w:p>
    <w:p w14:paraId="34BFAC6E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4"/>
        <w:gridCol w:w="2199"/>
        <w:gridCol w:w="2197"/>
      </w:tblGrid>
      <w:tr w:rsidR="00362341" w:rsidRPr="00C42F0D" w14:paraId="0CEFC16B" w14:textId="77777777" w:rsidTr="00E8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9" w:type="pct"/>
            <w:hideMark/>
          </w:tcPr>
          <w:p w14:paraId="3846C1D7" w14:textId="77777777" w:rsidR="00362341" w:rsidRPr="00C42F0D" w:rsidRDefault="00362341" w:rsidP="00E806E2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176" w:type="pct"/>
            <w:hideMark/>
          </w:tcPr>
          <w:p w14:paraId="0D8732B2" w14:textId="77777777" w:rsidR="00362341" w:rsidRPr="00C42F0D" w:rsidRDefault="00362341" w:rsidP="00E806E2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  <w:tc>
          <w:tcPr>
            <w:tcW w:w="1175" w:type="pct"/>
          </w:tcPr>
          <w:p w14:paraId="16B0851F" w14:textId="77777777" w:rsidR="00362341" w:rsidRDefault="00362341" w:rsidP="00E806E2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键盘</w:t>
            </w:r>
          </w:p>
        </w:tc>
      </w:tr>
      <w:tr w:rsidR="00362341" w:rsidRPr="00C42F0D" w14:paraId="19F2C59B" w14:textId="77777777" w:rsidTr="00E806E2">
        <w:trPr>
          <w:trHeight w:val="469"/>
        </w:trPr>
        <w:tc>
          <w:tcPr>
            <w:tcW w:w="2649" w:type="pct"/>
          </w:tcPr>
          <w:p w14:paraId="64DBE077" w14:textId="77777777" w:rsidR="00362341" w:rsidRPr="00C42F0D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切换显示 ST.2084 曲线</w:t>
            </w:r>
          </w:p>
        </w:tc>
        <w:tc>
          <w:tcPr>
            <w:tcW w:w="1176" w:type="pct"/>
          </w:tcPr>
          <w:p w14:paraId="623F10B7" w14:textId="77777777" w:rsidR="00362341" w:rsidRPr="00C42F0D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  <w:tc>
          <w:tcPr>
            <w:tcW w:w="1175" w:type="pct"/>
          </w:tcPr>
          <w:p w14:paraId="2871345E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空间</w:t>
            </w:r>
          </w:p>
        </w:tc>
      </w:tr>
      <w:tr w:rsidR="00362341" w14:paraId="405CA467" w14:textId="77777777" w:rsidTr="00E80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649" w:type="pct"/>
          </w:tcPr>
          <w:p w14:paraId="11937B6A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切换仅显示白纸区块</w:t>
            </w:r>
          </w:p>
        </w:tc>
        <w:tc>
          <w:tcPr>
            <w:tcW w:w="1176" w:type="pct"/>
          </w:tcPr>
          <w:p w14:paraId="61F25C82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键</w:t>
            </w:r>
          </w:p>
        </w:tc>
        <w:tc>
          <w:tcPr>
            <w:tcW w:w="1175" w:type="pct"/>
          </w:tcPr>
          <w:p w14:paraId="29D3E09D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输入</w:t>
            </w:r>
          </w:p>
        </w:tc>
      </w:tr>
      <w:tr w:rsidR="00362341" w14:paraId="32E8355B" w14:textId="77777777" w:rsidTr="00E806E2">
        <w:trPr>
          <w:trHeight w:val="234"/>
        </w:trPr>
        <w:tc>
          <w:tcPr>
            <w:tcW w:w="2649" w:type="pct"/>
          </w:tcPr>
          <w:p w14:paraId="3D1BD431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调整白纸的亮度</w:t>
            </w:r>
          </w:p>
        </w:tc>
        <w:tc>
          <w:tcPr>
            <w:tcW w:w="1176" w:type="pct"/>
          </w:tcPr>
          <w:p w14:paraId="6FA82E4B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D-Pad</w:t>
            </w:r>
          </w:p>
        </w:tc>
        <w:tc>
          <w:tcPr>
            <w:tcW w:w="1175" w:type="pct"/>
          </w:tcPr>
          <w:p w14:paraId="2204F2ED" w14:textId="77777777" w:rsidR="00362341" w:rsidRDefault="00676E84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+ 和 -</w:t>
            </w:r>
          </w:p>
        </w:tc>
      </w:tr>
      <w:tr w:rsidR="00362341" w14:paraId="4549FD65" w14:textId="77777777" w:rsidTr="00E80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9" w:type="pct"/>
          </w:tcPr>
          <w:p w14:paraId="1153B3EF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调整数值</w:t>
            </w:r>
          </w:p>
        </w:tc>
        <w:tc>
          <w:tcPr>
            <w:tcW w:w="1176" w:type="pct"/>
          </w:tcPr>
          <w:p w14:paraId="532AA36D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左/右操纵杆</w:t>
            </w:r>
          </w:p>
        </w:tc>
        <w:tc>
          <w:tcPr>
            <w:tcW w:w="1175" w:type="pct"/>
          </w:tcPr>
          <w:p w14:paraId="25CC7101" w14:textId="77777777" w:rsidR="00676E84" w:rsidRDefault="00676E84" w:rsidP="00676E8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上和下</w:t>
            </w:r>
          </w:p>
          <w:p w14:paraId="2F17F620" w14:textId="77777777" w:rsidR="00362341" w:rsidRDefault="00676E84" w:rsidP="00676E8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（慢慢使用 Shift）</w:t>
            </w:r>
          </w:p>
        </w:tc>
      </w:tr>
      <w:tr w:rsidR="00362341" w14:paraId="32A1DEF6" w14:textId="77777777" w:rsidTr="00E806E2">
        <w:trPr>
          <w:trHeight w:val="362"/>
        </w:trPr>
        <w:tc>
          <w:tcPr>
            <w:tcW w:w="2649" w:type="pct"/>
          </w:tcPr>
          <w:p w14:paraId="428AE861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1176" w:type="pct"/>
          </w:tcPr>
          <w:p w14:paraId="66019F29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  <w:tc>
          <w:tcPr>
            <w:tcW w:w="1175" w:type="pct"/>
          </w:tcPr>
          <w:p w14:paraId="6743E480" w14:textId="77777777" w:rsidR="00362341" w:rsidRDefault="00362341" w:rsidP="00E806E2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</w:tr>
    </w:tbl>
    <w:p w14:paraId="06F362C1" w14:textId="77777777" w:rsidR="00362341" w:rsidRDefault="00362341" w:rsidP="00331038"/>
    <w:p w14:paraId="4220425B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6A9E7865" w14:textId="77777777" w:rsidR="006A2A92" w:rsidRDefault="00362341" w:rsidP="006A2A92">
      <w:pPr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一个非常简易的 HDR 场景，其数值大于1.0f，渲染到 FP16 后备缓冲区。</w:t>
      </w:r>
      <w:r>
        <w:rPr>
          <w:rFonts w:hint="eastAsia"/>
        </w:rPr>
        <w:t xml:space="preserve">如果系统支持 HDR，将产生 HDR 信号，否则在交换链中将产生色调映射的 SDR 信号。</w:t>
      </w:r>
    </w:p>
    <w:p w14:paraId="5C7DA4A3" w14:textId="77777777" w:rsidR="006A2A92" w:rsidRDefault="006A2A92" w:rsidP="006A2A92"/>
    <w:p w14:paraId="5B21FB46" w14:textId="77777777"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此样本使用 </w:t>
      </w:r>
      <w:hyperlink r:id="rId9" w:history="1">
        <w:r>
          <w:rPr>
            <w:rStyle w:val="Hyperlink"/>
            <w:rFonts w:hint="eastAsia"/>
          </w:rPr>
          <w:t xml:space="preserve">DeviceResources</w:t>
        </w:r>
      </w:hyperlink>
      <w:r>
        <w:rPr>
          <w:rFonts w:hint="eastAsia"/>
        </w:rPr>
        <w:t xml:space="preserve"> 类，支持具有 HDR 功能的交换链。</w:t>
      </w:r>
    </w:p>
    <w:p w14:paraId="41B18226" w14:textId="77777777" w:rsidR="006A2A92" w:rsidRDefault="006A2A92" w:rsidP="006A2A92"/>
    <w:p w14:paraId="51DABDDA" w14:textId="77777777"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截至目前，游戏使用 Rec.709 彩色原色和 Rec.709 伽玛曲线输出 SDR 信号。</w:t>
      </w:r>
      <w:r>
        <w:rPr>
          <w:rFonts w:hint="eastAsia"/>
        </w:rPr>
        <w:t xml:space="preserve">UHD 显示器的一个新功能是其色域更宽 (WCG)。</w:t>
      </w:r>
      <w:r>
        <w:rPr>
          <w:rFonts w:hint="eastAsia"/>
        </w:rPr>
        <w:t xml:space="preserve">如要使用这个功能，需使用新的色彩空间，Rec.2020 色彩原色。</w:t>
      </w:r>
      <w:r>
        <w:rPr>
          <w:rFonts w:hint="eastAsia"/>
        </w:rPr>
        <w:t xml:space="preserve">UHD 显示器的另一个新功能是高动态范围 (HDR)。</w:t>
      </w:r>
      <w:r>
        <w:rPr>
          <w:rFonts w:hint="eastAsia"/>
        </w:rPr>
        <w:t xml:space="preserve">如要使用这个功能，需使用不同的曲线，ST.2084 曲线。</w:t>
      </w:r>
      <w:r>
        <w:rPr>
          <w:rFonts w:hint="eastAsia"/>
        </w:rPr>
        <w:t xml:space="preserve">因此，如要输出 HDR 信号，需使用 Rec.2020 彩色原色和 ST.2084 曲线。</w:t>
      </w:r>
    </w:p>
    <w:p w14:paraId="4FB22A10" w14:textId="77777777" w:rsidR="006A2A92" w:rsidRDefault="006A2A92" w:rsidP="006A2A92"/>
    <w:p w14:paraId="010487CD" w14:textId="77777777" w:rsidR="006A2A92" w:rsidRP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为了显示 SDR 信号，应用简单的色调映射着色器，在 HDR 场景中简易地剪切高于 1.0f 的所有数值，并使用 Rec.709 色彩原色输出 8 位数</w:t>
        <w:br/>
        <w:t xml:space="preserve">值。</w:t>
      </w:r>
      <w:r>
        <w:rPr>
          <w:rFonts w:hint="eastAsia"/>
        </w:rPr>
        <w:t xml:space="preserve">请参阅</w:t>
      </w:r>
      <w:r>
        <w:rPr>
          <w:i/>
          <w:rFonts w:hint="eastAsia"/>
        </w:rPr>
        <w:t xml:space="preserve"> DirectX 12 的 DirectX 工具包</w:t>
      </w:r>
      <w:r>
        <w:rPr>
          <w:rFonts w:hint="eastAsia"/>
        </w:rPr>
        <w:t xml:space="preserve">中的</w:t>
      </w:r>
      <w:hyperlink r:id="rId10" w:history="1">
        <w:r>
          <w:rPr>
            <w:rStyle w:val="Hyperlink"/>
            <w:rFonts w:hint="eastAsia"/>
          </w:rPr>
          <w:t xml:space="preserve">后置处理</w:t>
        </w:r>
      </w:hyperlink>
      <w:r>
        <w:rPr>
          <w:rFonts w:hint="eastAsia"/>
        </w:rPr>
        <w:t xml:space="preserve">类，了解其他色调映射操作符。</w:t>
      </w:r>
    </w:p>
    <w:p w14:paraId="25DA6ABD" w14:textId="77777777" w:rsidR="006A2A92" w:rsidRDefault="006A2A92" w:rsidP="006A2A92"/>
    <w:p w14:paraId="473D8F08" w14:textId="77777777"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为了显示 HDR 信号，使用着色器将 Rec.709 色彩原色旋转为 Rec.2020 色彩原色，然后应用 ST.2084 曲线输出 HDR 显示可正确显示的 10 位数值。</w:t>
      </w:r>
      <w:r>
        <w:rPr>
          <w:rFonts w:hint="eastAsia"/>
        </w:rPr>
        <w:t xml:space="preserve">HDR 显示器上输出的白度和亮度将由用于定义“白纸”的所选 nits 值确定。</w:t>
      </w:r>
      <w:r>
        <w:rPr>
          <w:rFonts w:hint="eastAsia"/>
        </w:rPr>
        <w:t xml:space="preserve">SDR 规格将“白纸”定义为 80nits，但这适用于黑暗环境的电影院。</w:t>
      </w:r>
      <w:r>
        <w:rPr>
          <w:rFonts w:hint="eastAsia"/>
        </w:rPr>
        <w:t xml:space="preserve">如今的消费者习惯于更亮的白色，例如智能手机约 550 nits（可在阳光下观看），PC 监视器为 200-300 nits，SDR TV 为 120-150 nits 等。可在样本中调整“白纸”的 nits 数值。</w:t>
      </w:r>
      <w:r>
        <w:rPr>
          <w:rFonts w:hint="eastAsia"/>
        </w:rPr>
        <w:t xml:space="preserve">在白色旁边显示明亮值可能会误导人们的眼睛，因此如果只想看到“白纸”区块，可以使用 A 按键进行切换。</w:t>
      </w:r>
    </w:p>
    <w:p w14:paraId="1FA4F7FE" w14:textId="77777777" w:rsidR="006A2A92" w:rsidRDefault="006A2A92" w:rsidP="006A2A92"/>
    <w:p w14:paraId="16CA9169" w14:textId="77777777"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样本有两种模式：</w:t>
      </w:r>
    </w:p>
    <w:p w14:paraId="74391D38" w14:textId="77777777" w:rsidR="006A2A92" w:rsidRDefault="006A2A92" w:rsidP="006A2A92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在场景中渲染具有特定值的区块</w:t>
      </w:r>
    </w:p>
    <w:p w14:paraId="4E22D066" w14:textId="77777777" w:rsidR="006A2A92" w:rsidRDefault="006A2A92" w:rsidP="006A2A92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使用特定亮度值 (nits) 渲染 ST.2084 曲线</w:t>
      </w:r>
    </w:p>
    <w:p w14:paraId="28A1B7FE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5F1C4411" w14:textId="77777777" w:rsidR="00386947" w:rsidRDefault="00386947" w:rsidP="00386947">
      <w:pPr>
        <w:rPr>
          <w:rFonts w:hint="eastAsia"/>
        </w:rPr>
      </w:pPr>
      <w:r>
        <w:rPr>
          <w:rFonts w:hint="eastAsia"/>
        </w:rPr>
        <w:t xml:space="preserve">初次发布于 2018 年 4 月</w:t>
      </w:r>
    </w:p>
    <w:sectPr w:rsidR="00386947" w:rsidSect="00DD79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7DFB0" w14:textId="77777777" w:rsidR="00236D5D" w:rsidRDefault="00236D5D" w:rsidP="0074610F">
      <w:r>
        <w:separator/>
      </w:r>
    </w:p>
  </w:endnote>
  <w:endnote w:type="continuationSeparator" w:id="0">
    <w:p w14:paraId="28018085" w14:textId="77777777" w:rsidR="00236D5D" w:rsidRDefault="00236D5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2C91D" w14:textId="77777777" w:rsidR="009835DB" w:rsidRDefault="0098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2898C89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0434D5" w14:textId="236D009E" w:rsidR="00843058" w:rsidRPr="00097CCA" w:rsidRDefault="00281D12" w:rsidP="00DD79DA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8049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6D7B5F2A" wp14:editId="30FEAD7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SimpleHDR12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46BB19C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C12F3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11E1159A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D15F4B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FA03D" w14:textId="748AE98C" w:rsidR="00843058" w:rsidRPr="00097CCA" w:rsidRDefault="00281D12" w:rsidP="00655228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8049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52D20494" wp14:editId="5E067CE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2C2FAA3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DD79D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E59DE7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2ABF6" w14:textId="77777777" w:rsidR="00236D5D" w:rsidRDefault="00236D5D" w:rsidP="0074610F">
      <w:r>
        <w:separator/>
      </w:r>
    </w:p>
  </w:footnote>
  <w:footnote w:type="continuationSeparator" w:id="0">
    <w:p w14:paraId="49F9CFC8" w14:textId="77777777" w:rsidR="00236D5D" w:rsidRDefault="00236D5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B8132" w14:textId="77777777" w:rsidR="009835DB" w:rsidRDefault="0098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3B1C" w14:textId="77777777" w:rsidR="009835DB" w:rsidRDefault="0098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4E8BDE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6AD36B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D97E80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E1A03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003705" w14:textId="77777777" w:rsidR="000B6D5E" w:rsidRPr="000B6D5E" w:rsidRDefault="000B6D5E" w:rsidP="000B6D5E"/>
              <w:p w14:paraId="4E4B76AF" w14:textId="77777777" w:rsidR="000B6D5E" w:rsidRDefault="000B6D5E" w:rsidP="000B6D5E"/>
              <w:p w14:paraId="4014F66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3ED8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0511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87C0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E769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D8CE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506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44D2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896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8FF9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631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7300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E9F0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BD3E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1F8E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A0FB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D0C3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EC54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6B86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1F95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C2DB2D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405F10EF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35528F85" wp14:editId="3B58A58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19748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A6962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7AD735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42DC04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A36DD3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5D1EE1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5EDC4FA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FCAAAB4" w14:textId="77777777" w:rsidR="00CF3729" w:rsidRDefault="00CF3729">
    <w:pPr>
      <w:pStyle w:val="Header"/>
      <w:rPr>
        <w:sz w:val="2"/>
        <w:szCs w:val="2"/>
      </w:rPr>
    </w:pPr>
  </w:p>
  <w:p w14:paraId="0D037610" w14:textId="77777777" w:rsidR="000B6D5E" w:rsidRDefault="000B6D5E">
    <w:pPr>
      <w:pStyle w:val="Header"/>
      <w:rPr>
        <w:sz w:val="2"/>
        <w:szCs w:val="2"/>
      </w:rPr>
    </w:pPr>
  </w:p>
  <w:p w14:paraId="58D4FFE7" w14:textId="77777777" w:rsidR="000B6D5E" w:rsidRDefault="000B6D5E">
    <w:pPr>
      <w:pStyle w:val="Header"/>
      <w:rPr>
        <w:sz w:val="2"/>
        <w:szCs w:val="2"/>
      </w:rPr>
    </w:pPr>
  </w:p>
  <w:p w14:paraId="7E6A34AE" w14:textId="77777777" w:rsidR="000B6D5E" w:rsidRDefault="000B6D5E">
    <w:pPr>
      <w:pStyle w:val="Header"/>
      <w:rPr>
        <w:sz w:val="2"/>
        <w:szCs w:val="2"/>
      </w:rPr>
    </w:pPr>
  </w:p>
  <w:p w14:paraId="4B73E967" w14:textId="77777777" w:rsidR="000B6D5E" w:rsidRDefault="000B6D5E">
    <w:pPr>
      <w:pStyle w:val="Header"/>
      <w:rPr>
        <w:sz w:val="2"/>
        <w:szCs w:val="2"/>
      </w:rPr>
    </w:pPr>
  </w:p>
  <w:p w14:paraId="38CDE75D" w14:textId="77777777" w:rsidR="000B6D5E" w:rsidRDefault="000B6D5E">
    <w:pPr>
      <w:pStyle w:val="Header"/>
      <w:rPr>
        <w:sz w:val="2"/>
        <w:szCs w:val="2"/>
      </w:rPr>
    </w:pPr>
  </w:p>
  <w:p w14:paraId="4E31B78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5D0EDE"/>
    <w:multiLevelType w:val="hybridMultilevel"/>
    <w:tmpl w:val="1E4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D566E58"/>
    <w:multiLevelType w:val="hybridMultilevel"/>
    <w:tmpl w:val="D4E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8453D"/>
    <w:rsid w:val="00097CCA"/>
    <w:rsid w:val="000B6D5E"/>
    <w:rsid w:val="000C12F3"/>
    <w:rsid w:val="000C5668"/>
    <w:rsid w:val="00150ED8"/>
    <w:rsid w:val="00180496"/>
    <w:rsid w:val="001B2116"/>
    <w:rsid w:val="001C132C"/>
    <w:rsid w:val="001F34F6"/>
    <w:rsid w:val="001F5BB0"/>
    <w:rsid w:val="001F5D9E"/>
    <w:rsid w:val="00203869"/>
    <w:rsid w:val="00236D5D"/>
    <w:rsid w:val="0024713D"/>
    <w:rsid w:val="002741D2"/>
    <w:rsid w:val="002748E9"/>
    <w:rsid w:val="00281D12"/>
    <w:rsid w:val="00287A4C"/>
    <w:rsid w:val="00294A1B"/>
    <w:rsid w:val="002C7D5A"/>
    <w:rsid w:val="002E7BBB"/>
    <w:rsid w:val="00303D44"/>
    <w:rsid w:val="00321170"/>
    <w:rsid w:val="00331038"/>
    <w:rsid w:val="00355166"/>
    <w:rsid w:val="00362341"/>
    <w:rsid w:val="00386947"/>
    <w:rsid w:val="00396432"/>
    <w:rsid w:val="003A439E"/>
    <w:rsid w:val="003D3EF7"/>
    <w:rsid w:val="00425592"/>
    <w:rsid w:val="00427C8D"/>
    <w:rsid w:val="004B7DDA"/>
    <w:rsid w:val="005640ED"/>
    <w:rsid w:val="00575766"/>
    <w:rsid w:val="00575F36"/>
    <w:rsid w:val="00585527"/>
    <w:rsid w:val="005B4DA9"/>
    <w:rsid w:val="005E3DA1"/>
    <w:rsid w:val="006309F8"/>
    <w:rsid w:val="00655228"/>
    <w:rsid w:val="00676E84"/>
    <w:rsid w:val="006A2A92"/>
    <w:rsid w:val="006A532D"/>
    <w:rsid w:val="006B7433"/>
    <w:rsid w:val="006D506E"/>
    <w:rsid w:val="00707E22"/>
    <w:rsid w:val="00726285"/>
    <w:rsid w:val="0074610F"/>
    <w:rsid w:val="00757904"/>
    <w:rsid w:val="007624A4"/>
    <w:rsid w:val="00764B3A"/>
    <w:rsid w:val="00774A4C"/>
    <w:rsid w:val="007806DC"/>
    <w:rsid w:val="007A0848"/>
    <w:rsid w:val="00802E05"/>
    <w:rsid w:val="00843058"/>
    <w:rsid w:val="008808CB"/>
    <w:rsid w:val="00886E89"/>
    <w:rsid w:val="00887700"/>
    <w:rsid w:val="008E2619"/>
    <w:rsid w:val="00917557"/>
    <w:rsid w:val="009324AE"/>
    <w:rsid w:val="00933B65"/>
    <w:rsid w:val="009835DB"/>
    <w:rsid w:val="00985949"/>
    <w:rsid w:val="00987A88"/>
    <w:rsid w:val="0099742F"/>
    <w:rsid w:val="00AA4DBF"/>
    <w:rsid w:val="00AE567F"/>
    <w:rsid w:val="00B15AAA"/>
    <w:rsid w:val="00B62C6B"/>
    <w:rsid w:val="00BC1F23"/>
    <w:rsid w:val="00CD3733"/>
    <w:rsid w:val="00CE7A67"/>
    <w:rsid w:val="00CF3729"/>
    <w:rsid w:val="00D37C56"/>
    <w:rsid w:val="00DC7DFC"/>
    <w:rsid w:val="00DD0606"/>
    <w:rsid w:val="00DD79DA"/>
    <w:rsid w:val="00E16AF8"/>
    <w:rsid w:val="00E2307C"/>
    <w:rsid w:val="00E6273F"/>
    <w:rsid w:val="00ED794E"/>
    <w:rsid w:val="00EE2624"/>
    <w:rsid w:val="00EF5373"/>
    <w:rsid w:val="00F0071C"/>
    <w:rsid w:val="00F40AC7"/>
    <w:rsid w:val="00F55116"/>
    <w:rsid w:val="00F56FB3"/>
    <w:rsid w:val="00F70459"/>
    <w:rsid w:val="00FD4A4C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F10B8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A2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Microsoft/DirectXTK12/wiki/PostPro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12/wiki/DeviceResourc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35</cp:revision>
  <dcterms:created xsi:type="dcterms:W3CDTF">2016-01-25T19:58:00Z</dcterms:created>
  <dcterms:modified xsi:type="dcterms:W3CDTF">2018-11-15T02:07:00Z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2017-10-25T23:41:58.3058239Z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