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9FADB" w14:textId="77777777" w:rsidR="00764B3A" w:rsidRPr="0079776E" w:rsidRDefault="00F03011" w:rsidP="0079776E">
      <w:pPr>
        <w:pStyle w:val="Title"/>
        <w:spacing w:line="221" w:lineRule="auto"/>
      </w:pPr>
      <w:r w:rsidRPr="0079776E">
        <w:rPr>
          <w:rFonts w:hint="eastAsia"/>
        </w:rPr>
        <w:t>用于</w:t>
      </w:r>
      <w:r w:rsidRPr="0079776E">
        <w:rPr>
          <w:rFonts w:hint="eastAsia"/>
        </w:rPr>
        <w:t xml:space="preserve"> DirectX 11 </w:t>
      </w:r>
      <w:r w:rsidRPr="0079776E">
        <w:rPr>
          <w:rFonts w:hint="eastAsia"/>
        </w:rPr>
        <w:t>的简单</w:t>
      </w:r>
      <w:r w:rsidRPr="0079776E">
        <w:rPr>
          <w:rFonts w:hint="eastAsia"/>
        </w:rPr>
        <w:t xml:space="preserve"> MSAA</w:t>
      </w:r>
    </w:p>
    <w:p w14:paraId="3E398797" w14:textId="77777777" w:rsidR="006D0CD0" w:rsidRPr="0079776E" w:rsidRDefault="006D0CD0" w:rsidP="0079776E">
      <w:pPr>
        <w:spacing w:line="221" w:lineRule="auto"/>
        <w:rPr>
          <w:i/>
          <w:spacing w:val="-10"/>
        </w:rPr>
      </w:pPr>
      <w:r w:rsidRPr="0079776E">
        <w:rPr>
          <w:rFonts w:hint="eastAsia"/>
          <w:i/>
          <w:spacing w:val="-10"/>
        </w:rPr>
        <w:t>此示例与</w:t>
      </w:r>
      <w:r w:rsidRPr="0079776E">
        <w:rPr>
          <w:rFonts w:hint="eastAsia"/>
          <w:i/>
          <w:spacing w:val="-10"/>
        </w:rPr>
        <w:t>Windows 10 Anniversary Update SDK</w:t>
      </w:r>
      <w:r w:rsidRPr="0079776E">
        <w:rPr>
          <w:rFonts w:hint="eastAsia"/>
          <w:i/>
          <w:spacing w:val="-10"/>
        </w:rPr>
        <w:t>兼容（</w:t>
      </w:r>
      <w:r w:rsidRPr="0079776E">
        <w:rPr>
          <w:rFonts w:hint="eastAsia"/>
          <w:i/>
          <w:spacing w:val="-10"/>
        </w:rPr>
        <w:t>14393</w:t>
      </w:r>
      <w:r w:rsidRPr="0079776E">
        <w:rPr>
          <w:rFonts w:hint="eastAsia"/>
          <w:i/>
          <w:spacing w:val="-10"/>
        </w:rPr>
        <w:t>）</w:t>
      </w:r>
    </w:p>
    <w:p w14:paraId="40137223" w14:textId="77777777" w:rsidR="00A372D2" w:rsidRPr="0079776E" w:rsidRDefault="00A372D2" w:rsidP="0079776E">
      <w:pPr>
        <w:spacing w:line="221" w:lineRule="auto"/>
        <w:rPr>
          <w:spacing w:val="-10"/>
          <w:sz w:val="16"/>
          <w:szCs w:val="16"/>
        </w:rPr>
      </w:pPr>
    </w:p>
    <w:p w14:paraId="450E9117" w14:textId="77777777" w:rsidR="00F03011" w:rsidRPr="0079776E" w:rsidRDefault="00F03011" w:rsidP="0079776E">
      <w:pPr>
        <w:spacing w:line="221" w:lineRule="auto"/>
        <w:rPr>
          <w:spacing w:val="-10"/>
        </w:rPr>
      </w:pPr>
      <w:r w:rsidRPr="0079776E">
        <w:rPr>
          <w:rFonts w:hint="eastAsia"/>
          <w:noProof/>
          <w:spacing w:val="-10"/>
        </w:rPr>
        <w:drawing>
          <wp:inline distT="0" distB="0" distL="0" distR="0" wp14:anchorId="1E9738DD" wp14:editId="2A6D3CC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A2B" w14:textId="77777777" w:rsidR="00764B3A" w:rsidRPr="0079776E" w:rsidRDefault="00281D12" w:rsidP="0079776E">
      <w:pPr>
        <w:pStyle w:val="Heading1"/>
        <w:spacing w:before="0" w:line="221" w:lineRule="auto"/>
        <w:rPr>
          <w:spacing w:val="-10"/>
        </w:rPr>
      </w:pPr>
      <w:r w:rsidRPr="0079776E">
        <w:rPr>
          <w:rFonts w:hint="eastAsia"/>
          <w:spacing w:val="-10"/>
        </w:rPr>
        <w:t>描述</w:t>
      </w:r>
    </w:p>
    <w:p w14:paraId="03EA2329" w14:textId="77777777" w:rsidR="00281D12" w:rsidRPr="0079776E" w:rsidRDefault="00F16617" w:rsidP="0079776E">
      <w:p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此示例使用</w:t>
      </w:r>
      <w:r w:rsidRPr="0079776E">
        <w:rPr>
          <w:rFonts w:hint="eastAsia"/>
          <w:spacing w:val="-10"/>
        </w:rPr>
        <w:t xml:space="preserve"> DirectX 11 </w:t>
      </w:r>
      <w:r w:rsidRPr="0079776E">
        <w:rPr>
          <w:rFonts w:hint="eastAsia"/>
          <w:spacing w:val="-10"/>
        </w:rPr>
        <w:t>为</w:t>
      </w:r>
      <w:r w:rsidRPr="0079776E">
        <w:rPr>
          <w:rFonts w:hint="eastAsia"/>
          <w:spacing w:val="-10"/>
        </w:rPr>
        <w:t xml:space="preserve"> 3D </w:t>
      </w:r>
      <w:r w:rsidRPr="0079776E">
        <w:rPr>
          <w:rFonts w:hint="eastAsia"/>
          <w:spacing w:val="-10"/>
        </w:rPr>
        <w:t>场景实现</w:t>
      </w:r>
      <w:r w:rsidRPr="0079776E">
        <w:rPr>
          <w:rFonts w:hint="eastAsia"/>
          <w:spacing w:val="-10"/>
        </w:rPr>
        <w:t xml:space="preserve"> MSAA </w:t>
      </w:r>
      <w:r w:rsidRPr="0079776E">
        <w:rPr>
          <w:rFonts w:hint="eastAsia"/>
          <w:spacing w:val="-10"/>
        </w:rPr>
        <w:t>渲染目标和深度</w:t>
      </w:r>
      <w:r w:rsidRPr="0079776E">
        <w:rPr>
          <w:rFonts w:hint="eastAsia"/>
          <w:spacing w:val="-10"/>
        </w:rPr>
        <w:t>/</w:t>
      </w:r>
      <w:r w:rsidRPr="0079776E">
        <w:rPr>
          <w:rFonts w:hint="eastAsia"/>
          <w:spacing w:val="-10"/>
        </w:rPr>
        <w:t>模板缓冲。</w:t>
      </w:r>
    </w:p>
    <w:p w14:paraId="48537FB6" w14:textId="77777777" w:rsidR="00281D12" w:rsidRPr="0079776E" w:rsidRDefault="00281D12" w:rsidP="0079776E">
      <w:pPr>
        <w:pStyle w:val="Heading1"/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使用样本</w:t>
      </w:r>
      <w:bookmarkStart w:id="0" w:name="_GoBack"/>
      <w:bookmarkEnd w:id="0"/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2855"/>
        <w:gridCol w:w="2504"/>
      </w:tblGrid>
      <w:tr w:rsidR="00F861F8" w:rsidRPr="0079776E" w14:paraId="654BC022" w14:textId="77777777" w:rsidTr="00797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2134" w:type="pct"/>
            <w:hideMark/>
          </w:tcPr>
          <w:p w14:paraId="46573C36" w14:textId="77777777" w:rsidR="00F861F8" w:rsidRPr="0079776E" w:rsidRDefault="00F861F8" w:rsidP="0079776E">
            <w:pPr>
              <w:pStyle w:val="Tableheading"/>
              <w:spacing w:line="221" w:lineRule="auto"/>
              <w:rPr>
                <w:bCs w:val="0"/>
                <w:spacing w:val="-10"/>
              </w:rPr>
            </w:pPr>
            <w:r w:rsidRPr="0079776E">
              <w:rPr>
                <w:rFonts w:hint="eastAsia"/>
                <w:spacing w:val="-10"/>
              </w:rPr>
              <w:t>操作</w:t>
            </w:r>
          </w:p>
        </w:tc>
        <w:tc>
          <w:tcPr>
            <w:tcW w:w="1527" w:type="pct"/>
            <w:hideMark/>
          </w:tcPr>
          <w:p w14:paraId="1BADCE51" w14:textId="77777777" w:rsidR="00F861F8" w:rsidRPr="0079776E" w:rsidRDefault="00F861F8" w:rsidP="0079776E">
            <w:pPr>
              <w:pStyle w:val="Tableheading"/>
              <w:spacing w:line="221" w:lineRule="auto"/>
              <w:rPr>
                <w:bCs w:val="0"/>
                <w:spacing w:val="-10"/>
              </w:rPr>
            </w:pPr>
            <w:r w:rsidRPr="0079776E">
              <w:rPr>
                <w:rFonts w:hint="eastAsia"/>
                <w:spacing w:val="-10"/>
              </w:rPr>
              <w:t>游戏手柄</w:t>
            </w:r>
          </w:p>
        </w:tc>
        <w:tc>
          <w:tcPr>
            <w:tcW w:w="1339" w:type="pct"/>
          </w:tcPr>
          <w:p w14:paraId="75D0C613" w14:textId="77777777" w:rsidR="00F861F8" w:rsidRPr="0079776E" w:rsidRDefault="00F861F8" w:rsidP="0079776E">
            <w:pPr>
              <w:pStyle w:val="Tableheading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键盘</w:t>
            </w:r>
          </w:p>
        </w:tc>
      </w:tr>
      <w:tr w:rsidR="00F861F8" w:rsidRPr="0079776E" w14:paraId="67581BD4" w14:textId="77777777" w:rsidTr="0079776E">
        <w:trPr>
          <w:trHeight w:val="269"/>
        </w:trPr>
        <w:tc>
          <w:tcPr>
            <w:tcW w:w="2134" w:type="pct"/>
          </w:tcPr>
          <w:p w14:paraId="2616D4A9" w14:textId="77777777" w:rsidR="00F861F8" w:rsidRPr="0079776E" w:rsidRDefault="00F861F8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切换</w:t>
            </w:r>
            <w:r w:rsidRPr="0079776E">
              <w:rPr>
                <w:rFonts w:hint="eastAsia"/>
                <w:spacing w:val="-10"/>
              </w:rPr>
              <w:t xml:space="preserve"> MSAA </w:t>
            </w:r>
            <w:r w:rsidRPr="0079776E">
              <w:rPr>
                <w:rFonts w:hint="eastAsia"/>
                <w:spacing w:val="-10"/>
              </w:rPr>
              <w:t>与单一示例</w:t>
            </w:r>
          </w:p>
        </w:tc>
        <w:tc>
          <w:tcPr>
            <w:tcW w:w="1527" w:type="pct"/>
          </w:tcPr>
          <w:p w14:paraId="54E917FB" w14:textId="77777777" w:rsidR="00F861F8" w:rsidRPr="0079776E" w:rsidRDefault="00F861F8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 xml:space="preserve">A </w:t>
            </w:r>
            <w:r w:rsidRPr="0079776E">
              <w:rPr>
                <w:rFonts w:hint="eastAsia"/>
                <w:spacing w:val="-10"/>
              </w:rPr>
              <w:t>键</w:t>
            </w:r>
          </w:p>
        </w:tc>
        <w:tc>
          <w:tcPr>
            <w:tcW w:w="1339" w:type="pct"/>
          </w:tcPr>
          <w:p w14:paraId="0D49E80E" w14:textId="77777777" w:rsidR="00F861F8" w:rsidRPr="0079776E" w:rsidRDefault="005B3A0C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空间</w:t>
            </w:r>
          </w:p>
        </w:tc>
      </w:tr>
      <w:tr w:rsidR="00F861F8" w:rsidRPr="0079776E" w14:paraId="4C74A321" w14:textId="77777777" w:rsidTr="0079776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5"/>
        </w:trPr>
        <w:tc>
          <w:tcPr>
            <w:tcW w:w="2134" w:type="pct"/>
          </w:tcPr>
          <w:p w14:paraId="3A307D71" w14:textId="77777777" w:rsidR="00F861F8" w:rsidRPr="0079776E" w:rsidRDefault="00F861F8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退出</w:t>
            </w:r>
          </w:p>
        </w:tc>
        <w:tc>
          <w:tcPr>
            <w:tcW w:w="1527" w:type="pct"/>
          </w:tcPr>
          <w:p w14:paraId="71492154" w14:textId="77777777" w:rsidR="00F861F8" w:rsidRPr="0079776E" w:rsidRDefault="00F861F8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查看按键</w:t>
            </w:r>
          </w:p>
        </w:tc>
        <w:tc>
          <w:tcPr>
            <w:tcW w:w="1339" w:type="pct"/>
          </w:tcPr>
          <w:p w14:paraId="1D908615" w14:textId="77777777" w:rsidR="00F861F8" w:rsidRPr="0079776E" w:rsidRDefault="00F861F8" w:rsidP="0079776E">
            <w:pPr>
              <w:pStyle w:val="Tablebody"/>
              <w:spacing w:line="221" w:lineRule="auto"/>
              <w:rPr>
                <w:spacing w:val="-10"/>
              </w:rPr>
            </w:pPr>
            <w:r w:rsidRPr="0079776E">
              <w:rPr>
                <w:rFonts w:hint="eastAsia"/>
                <w:spacing w:val="-10"/>
              </w:rPr>
              <w:t>退出</w:t>
            </w:r>
          </w:p>
        </w:tc>
      </w:tr>
    </w:tbl>
    <w:p w14:paraId="31A2F81D" w14:textId="77777777" w:rsidR="003D3EF7" w:rsidRPr="0079776E" w:rsidRDefault="003D3EF7" w:rsidP="0079776E">
      <w:pPr>
        <w:pStyle w:val="Heading1"/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实施说明</w:t>
      </w:r>
    </w:p>
    <w:p w14:paraId="5415432E" w14:textId="7F9D1C05" w:rsidR="00B15E2D" w:rsidRPr="0079776E" w:rsidRDefault="00B15E2D" w:rsidP="0079776E">
      <w:p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 xml:space="preserve">UI </w:t>
      </w:r>
      <w:r w:rsidRPr="0079776E">
        <w:rPr>
          <w:rFonts w:hint="eastAsia"/>
          <w:spacing w:val="-10"/>
        </w:rPr>
        <w:t>是在没有</w:t>
      </w:r>
      <w:r w:rsidRPr="0079776E">
        <w:rPr>
          <w:rFonts w:hint="eastAsia"/>
          <w:spacing w:val="-10"/>
        </w:rPr>
        <w:t xml:space="preserve"> MSAA </w:t>
      </w:r>
      <w:r w:rsidRPr="0079776E">
        <w:rPr>
          <w:rFonts w:hint="eastAsia"/>
          <w:spacing w:val="-10"/>
        </w:rPr>
        <w:t>的情况下绘制的，并使用显式解析而不是依靠</w:t>
      </w:r>
      <w:r w:rsidRPr="0079776E">
        <w:rPr>
          <w:rFonts w:hint="eastAsia"/>
          <w:spacing w:val="-10"/>
        </w:rPr>
        <w:t xml:space="preserve"> MSAA </w:t>
      </w:r>
      <w:r w:rsidRPr="0079776E">
        <w:rPr>
          <w:rFonts w:hint="eastAsia"/>
          <w:spacing w:val="-10"/>
        </w:rPr>
        <w:t>交换链的隐式解析。</w:t>
      </w:r>
    </w:p>
    <w:p w14:paraId="4948E3DA" w14:textId="0C59FBBD" w:rsidR="00606FB4" w:rsidRPr="0079776E" w:rsidRDefault="00606FB4" w:rsidP="0079776E">
      <w:pPr>
        <w:spacing w:line="221" w:lineRule="auto"/>
        <w:rPr>
          <w:spacing w:val="-10"/>
          <w:sz w:val="16"/>
          <w:szCs w:val="16"/>
        </w:rPr>
      </w:pPr>
    </w:p>
    <w:p w14:paraId="5DDD817C" w14:textId="77777777" w:rsidR="00606FB4" w:rsidRPr="0079776E" w:rsidRDefault="00606FB4" w:rsidP="0079776E">
      <w:pPr>
        <w:pStyle w:val="Heading2"/>
        <w:spacing w:line="221" w:lineRule="auto"/>
        <w:rPr>
          <w:spacing w:val="-10"/>
        </w:rPr>
      </w:pPr>
      <w:bookmarkStart w:id="1" w:name="_Hlk521425586"/>
      <w:r w:rsidRPr="0079776E">
        <w:rPr>
          <w:rFonts w:hint="eastAsia"/>
          <w:spacing w:val="-10"/>
        </w:rPr>
        <w:t>系统需求</w:t>
      </w:r>
    </w:p>
    <w:p w14:paraId="15BD6943" w14:textId="77777777" w:rsidR="00606FB4" w:rsidRPr="0079776E" w:rsidRDefault="00606FB4" w:rsidP="0079776E">
      <w:p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此示例与</w:t>
      </w:r>
      <w:r w:rsidRPr="0079776E">
        <w:rPr>
          <w:rFonts w:hint="eastAsia"/>
          <w:spacing w:val="-10"/>
        </w:rPr>
        <w:t>Windows 8</w:t>
      </w:r>
      <w:r w:rsidRPr="0079776E">
        <w:rPr>
          <w:rFonts w:hint="eastAsia"/>
          <w:spacing w:val="-10"/>
        </w:rPr>
        <w:t>或更高版本兼容。</w:t>
      </w:r>
    </w:p>
    <w:bookmarkEnd w:id="1"/>
    <w:p w14:paraId="1E7BE271" w14:textId="77777777" w:rsidR="00606FB4" w:rsidRPr="0079776E" w:rsidRDefault="00606FB4" w:rsidP="0079776E">
      <w:pPr>
        <w:spacing w:line="221" w:lineRule="auto"/>
        <w:rPr>
          <w:spacing w:val="-10"/>
        </w:rPr>
      </w:pPr>
    </w:p>
    <w:p w14:paraId="11AADE3F" w14:textId="77777777" w:rsidR="00606FB4" w:rsidRPr="0079776E" w:rsidRDefault="00606FB4" w:rsidP="0079776E">
      <w:p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若已安装</w:t>
      </w:r>
      <w:r w:rsidRPr="0079776E">
        <w:rPr>
          <w:rFonts w:hint="eastAsia"/>
          <w:spacing w:val="-10"/>
        </w:rPr>
        <w:t xml:space="preserve"> DirectX 11.1 Runtime</w:t>
      </w:r>
      <w:r w:rsidRPr="0079776E">
        <w:rPr>
          <w:rFonts w:hint="eastAsia"/>
          <w:spacing w:val="-10"/>
        </w:rPr>
        <w:t>（</w:t>
      </w:r>
      <w:hyperlink r:id="rId8" w:history="1">
        <w:r w:rsidRPr="0079776E">
          <w:rPr>
            <w:rStyle w:val="Hyperlink"/>
            <w:rFonts w:hint="eastAsia"/>
            <w:spacing w:val="-10"/>
          </w:rPr>
          <w:t>KB 2670838</w:t>
        </w:r>
      </w:hyperlink>
      <w:r w:rsidRPr="0079776E">
        <w:rPr>
          <w:rFonts w:hint="eastAsia"/>
          <w:spacing w:val="-10"/>
        </w:rPr>
        <w:t>），此样本也可在</w:t>
      </w:r>
      <w:r w:rsidRPr="0079776E">
        <w:rPr>
          <w:rFonts w:hint="eastAsia"/>
          <w:spacing w:val="-10"/>
        </w:rPr>
        <w:t xml:space="preserve"> Windows 7 Service Pack 1</w:t>
      </w:r>
      <w:r w:rsidRPr="0079776E">
        <w:rPr>
          <w:rFonts w:hint="eastAsia"/>
          <w:spacing w:val="-10"/>
        </w:rPr>
        <w:t>上运行。</w:t>
      </w:r>
      <w:bookmarkStart w:id="2" w:name="_Hlk521425568"/>
      <w:r w:rsidRPr="0079776E">
        <w:rPr>
          <w:rFonts w:hint="eastAsia"/>
          <w:spacing w:val="-10"/>
        </w:rPr>
        <w:t>看到</w:t>
      </w:r>
      <w:r w:rsidRPr="0079776E">
        <w:rPr>
          <w:rFonts w:hint="eastAsia"/>
          <w:spacing w:val="-10"/>
        </w:rPr>
        <w:t xml:space="preserve"> </w:t>
      </w:r>
      <w:hyperlink r:id="rId9" w:history="1">
        <w:r w:rsidRPr="0079776E">
          <w:rPr>
            <w:rStyle w:val="Hyperlink"/>
            <w:rFonts w:hint="eastAsia"/>
            <w:spacing w:val="-10"/>
          </w:rPr>
          <w:t>这篇博文</w:t>
        </w:r>
      </w:hyperlink>
      <w:r w:rsidRPr="0079776E">
        <w:rPr>
          <w:rFonts w:hint="eastAsia"/>
          <w:spacing w:val="-10"/>
        </w:rPr>
        <w:t xml:space="preserve"> </w:t>
      </w:r>
      <w:r w:rsidRPr="0079776E">
        <w:rPr>
          <w:rFonts w:hint="eastAsia"/>
          <w:spacing w:val="-10"/>
        </w:rPr>
        <w:t>了解更多信息。</w:t>
      </w:r>
      <w:bookmarkEnd w:id="2"/>
    </w:p>
    <w:p w14:paraId="4EBF22F6" w14:textId="77777777" w:rsidR="00F931A4" w:rsidRPr="0079776E" w:rsidRDefault="00F931A4" w:rsidP="0079776E">
      <w:pPr>
        <w:pStyle w:val="Heading1"/>
        <w:spacing w:line="221" w:lineRule="auto"/>
        <w:rPr>
          <w:spacing w:val="-10"/>
        </w:rPr>
      </w:pPr>
      <w:bookmarkStart w:id="3" w:name="ID2EMD"/>
      <w:bookmarkEnd w:id="3"/>
      <w:r w:rsidRPr="0079776E">
        <w:rPr>
          <w:rFonts w:hint="eastAsia"/>
          <w:spacing w:val="-10"/>
        </w:rPr>
        <w:t>已知的问题</w:t>
      </w:r>
    </w:p>
    <w:p w14:paraId="15AD1CC0" w14:textId="77777777" w:rsidR="00F931A4" w:rsidRPr="0079776E" w:rsidRDefault="00F931A4" w:rsidP="0079776E">
      <w:pPr>
        <w:pStyle w:val="ListParagraph"/>
        <w:numPr>
          <w:ilvl w:val="0"/>
          <w:numId w:val="18"/>
        </w:num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由于</w:t>
      </w:r>
      <w:r w:rsidRPr="0079776E">
        <w:rPr>
          <w:rFonts w:hint="eastAsia"/>
          <w:spacing w:val="-10"/>
        </w:rPr>
        <w:t xml:space="preserve"> Windows 10 </w:t>
      </w:r>
      <w:r w:rsidRPr="0079776E">
        <w:rPr>
          <w:rFonts w:hint="eastAsia"/>
          <w:spacing w:val="-10"/>
        </w:rPr>
        <w:t>秋季创作者更新</w:t>
      </w:r>
      <w:r w:rsidRPr="0079776E">
        <w:rPr>
          <w:rFonts w:hint="eastAsia"/>
          <w:spacing w:val="-10"/>
        </w:rPr>
        <w:t xml:space="preserve"> (16299) </w:t>
      </w:r>
      <w:r w:rsidRPr="0079776E">
        <w:rPr>
          <w:rFonts w:hint="eastAsia"/>
          <w:spacing w:val="-10"/>
        </w:rPr>
        <w:t>之前的</w:t>
      </w:r>
      <w:r w:rsidRPr="0079776E">
        <w:rPr>
          <w:rFonts w:hint="eastAsia"/>
          <w:spacing w:val="-10"/>
        </w:rPr>
        <w:t xml:space="preserve"> Windows 10 </w:t>
      </w:r>
      <w:r w:rsidRPr="0079776E">
        <w:rPr>
          <w:rFonts w:hint="eastAsia"/>
          <w:spacing w:val="-10"/>
        </w:rPr>
        <w:t>验证层中存在程序错误，使用新的“翻转式”交换链的含</w:t>
      </w:r>
      <w:r w:rsidRPr="0079776E">
        <w:rPr>
          <w:rFonts w:hint="eastAsia"/>
          <w:spacing w:val="-10"/>
        </w:rPr>
        <w:t xml:space="preserve"> sRGB </w:t>
      </w:r>
      <w:r w:rsidRPr="0079776E">
        <w:rPr>
          <w:rFonts w:hint="eastAsia"/>
          <w:spacing w:val="-10"/>
        </w:rPr>
        <w:t>格式的</w:t>
      </w:r>
      <w:r w:rsidRPr="0079776E">
        <w:rPr>
          <w:rFonts w:hint="eastAsia"/>
          <w:spacing w:val="-10"/>
        </w:rPr>
        <w:t xml:space="preserve"> DirectX 11 </w:t>
      </w:r>
      <w:r w:rsidRPr="0079776E">
        <w:rPr>
          <w:rFonts w:hint="eastAsia"/>
          <w:spacing w:val="-10"/>
        </w:rPr>
        <w:t>解析将失败。此问题已在更新版本的</w:t>
      </w:r>
      <w:r w:rsidRPr="0079776E">
        <w:rPr>
          <w:rFonts w:hint="eastAsia"/>
          <w:spacing w:val="-10"/>
        </w:rPr>
        <w:t xml:space="preserve"> Windows 10 </w:t>
      </w:r>
      <w:r w:rsidRPr="0079776E">
        <w:rPr>
          <w:rFonts w:hint="eastAsia"/>
          <w:spacing w:val="-10"/>
        </w:rPr>
        <w:t>中修复。</w:t>
      </w:r>
    </w:p>
    <w:p w14:paraId="2D349C03" w14:textId="77777777" w:rsidR="003D3EF7" w:rsidRPr="0079776E" w:rsidRDefault="003D3EF7" w:rsidP="0079776E">
      <w:pPr>
        <w:pStyle w:val="Heading1"/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>更新历史记录</w:t>
      </w:r>
    </w:p>
    <w:p w14:paraId="5651E3A6" w14:textId="77777777" w:rsidR="00B26E22" w:rsidRPr="0079776E" w:rsidRDefault="00B26E22" w:rsidP="0079776E">
      <w:pPr>
        <w:spacing w:line="221" w:lineRule="auto"/>
        <w:rPr>
          <w:spacing w:val="-10"/>
        </w:rPr>
      </w:pPr>
      <w:r w:rsidRPr="0079776E">
        <w:rPr>
          <w:rFonts w:hint="eastAsia"/>
          <w:spacing w:val="-10"/>
        </w:rPr>
        <w:t xml:space="preserve">2018 </w:t>
      </w:r>
      <w:r w:rsidRPr="0079776E">
        <w:rPr>
          <w:rFonts w:hint="eastAsia"/>
          <w:spacing w:val="-10"/>
        </w:rPr>
        <w:t>年</w:t>
      </w:r>
      <w:r w:rsidRPr="0079776E">
        <w:rPr>
          <w:rFonts w:hint="eastAsia"/>
          <w:spacing w:val="-10"/>
        </w:rPr>
        <w:t xml:space="preserve"> 5 </w:t>
      </w:r>
      <w:r w:rsidRPr="0079776E">
        <w:rPr>
          <w:rFonts w:hint="eastAsia"/>
          <w:spacing w:val="-10"/>
        </w:rPr>
        <w:t>月首次发布。</w:t>
      </w:r>
    </w:p>
    <w:sectPr w:rsidR="00B26E22" w:rsidRPr="0079776E" w:rsidSect="00FB542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2ECC5" w14:textId="77777777" w:rsidR="0095314D" w:rsidRDefault="0095314D" w:rsidP="0074610F">
      <w:r>
        <w:separator/>
      </w:r>
    </w:p>
  </w:endnote>
  <w:endnote w:type="continuationSeparator" w:id="0">
    <w:p w14:paraId="545C3ACC" w14:textId="77777777" w:rsidR="0095314D" w:rsidRDefault="0095314D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C591E" w14:textId="77777777" w:rsidR="009030B3" w:rsidRDefault="00903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B0C422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19C74BA" w14:textId="7538971C" w:rsidR="00843058" w:rsidRPr="00097CCA" w:rsidRDefault="00281D12" w:rsidP="00F0301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17:06:40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。保留所有权利。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2783A11" wp14:editId="09589564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样本：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SimpleMSAA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A36D5B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6147B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C614E94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41707FE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3DBB1EA" w14:textId="0C72BED6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9776E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17:06:40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。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保留所有权利。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917ED0E" wp14:editId="65EDFEE3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E454FE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B5429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429A623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08AE1" w14:textId="77777777" w:rsidR="0095314D" w:rsidRDefault="0095314D" w:rsidP="0074610F">
      <w:r>
        <w:separator/>
      </w:r>
    </w:p>
  </w:footnote>
  <w:footnote w:type="continuationSeparator" w:id="0">
    <w:p w14:paraId="4746E420" w14:textId="77777777" w:rsidR="0095314D" w:rsidRDefault="0095314D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213070" w14:textId="77777777" w:rsidR="009030B3" w:rsidRDefault="00903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7E575" w14:textId="77777777" w:rsidR="009030B3" w:rsidRDefault="009030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EDC86F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923692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3D37EF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E85F3C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E607BC" w14:textId="77777777" w:rsidR="000B6D5E" w:rsidRPr="000B6D5E" w:rsidRDefault="000B6D5E" w:rsidP="000B6D5E"/>
              <w:p w14:paraId="5AC3AD9B" w14:textId="77777777" w:rsidR="000B6D5E" w:rsidRDefault="000B6D5E" w:rsidP="000B6D5E"/>
              <w:p w14:paraId="1FE80C52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2D66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CC8E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4EE1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52E3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3B22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9E51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9E5B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22A65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9F6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DF43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FAFD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4921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A90B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30B0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DCE1E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D2C5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E6889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12B60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DE65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E56DF3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59B7BFF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2667D082" wp14:editId="77B6C106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94C6BE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AB2E36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63BA96A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8337FF5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AC09F5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AC9A9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5BCBA742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D31779B" w14:textId="77777777" w:rsidR="00CF3729" w:rsidRDefault="00CF3729">
    <w:pPr>
      <w:pStyle w:val="Header"/>
      <w:rPr>
        <w:sz w:val="2"/>
        <w:szCs w:val="2"/>
      </w:rPr>
    </w:pPr>
  </w:p>
  <w:p w14:paraId="4DC66E04" w14:textId="77777777" w:rsidR="000B6D5E" w:rsidRDefault="000B6D5E">
    <w:pPr>
      <w:pStyle w:val="Header"/>
      <w:rPr>
        <w:sz w:val="2"/>
        <w:szCs w:val="2"/>
      </w:rPr>
    </w:pPr>
  </w:p>
  <w:p w14:paraId="50778132" w14:textId="77777777" w:rsidR="000B6D5E" w:rsidRDefault="000B6D5E">
    <w:pPr>
      <w:pStyle w:val="Header"/>
      <w:rPr>
        <w:sz w:val="2"/>
        <w:szCs w:val="2"/>
      </w:rPr>
    </w:pPr>
  </w:p>
  <w:p w14:paraId="13A42AAA" w14:textId="77777777" w:rsidR="000B6D5E" w:rsidRDefault="000B6D5E">
    <w:pPr>
      <w:pStyle w:val="Header"/>
      <w:rPr>
        <w:sz w:val="2"/>
        <w:szCs w:val="2"/>
      </w:rPr>
    </w:pPr>
  </w:p>
  <w:p w14:paraId="1C058AE2" w14:textId="77777777" w:rsidR="000B6D5E" w:rsidRDefault="000B6D5E">
    <w:pPr>
      <w:pStyle w:val="Header"/>
      <w:rPr>
        <w:sz w:val="2"/>
        <w:szCs w:val="2"/>
      </w:rPr>
    </w:pPr>
  </w:p>
  <w:p w14:paraId="1BADD2C0" w14:textId="77777777" w:rsidR="000B6D5E" w:rsidRDefault="000B6D5E">
    <w:pPr>
      <w:pStyle w:val="Header"/>
      <w:rPr>
        <w:sz w:val="2"/>
        <w:szCs w:val="2"/>
      </w:rPr>
    </w:pPr>
  </w:p>
  <w:p w14:paraId="767AD0A3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CC2D8A"/>
    <w:multiLevelType w:val="hybridMultilevel"/>
    <w:tmpl w:val="E97E44B8"/>
    <w:lvl w:ilvl="0" w:tplc="07E41EF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C7D24"/>
    <w:multiLevelType w:val="hybridMultilevel"/>
    <w:tmpl w:val="38FA4D86"/>
    <w:lvl w:ilvl="0" w:tplc="07E41EF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8C4CB6"/>
    <w:multiLevelType w:val="hybridMultilevel"/>
    <w:tmpl w:val="D0BAEC02"/>
    <w:lvl w:ilvl="0" w:tplc="D8BA11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5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E06F1"/>
    <w:rsid w:val="001360D2"/>
    <w:rsid w:val="00150ED8"/>
    <w:rsid w:val="001A7D4E"/>
    <w:rsid w:val="001C132C"/>
    <w:rsid w:val="001F75F1"/>
    <w:rsid w:val="00203869"/>
    <w:rsid w:val="00227F43"/>
    <w:rsid w:val="00233F99"/>
    <w:rsid w:val="0024713D"/>
    <w:rsid w:val="002741D2"/>
    <w:rsid w:val="002748E9"/>
    <w:rsid w:val="00281D12"/>
    <w:rsid w:val="00287A4C"/>
    <w:rsid w:val="00294A1B"/>
    <w:rsid w:val="002A09FD"/>
    <w:rsid w:val="002B0BA3"/>
    <w:rsid w:val="002E7BBB"/>
    <w:rsid w:val="002F72D4"/>
    <w:rsid w:val="00303D44"/>
    <w:rsid w:val="00321170"/>
    <w:rsid w:val="00331038"/>
    <w:rsid w:val="00353C90"/>
    <w:rsid w:val="00355166"/>
    <w:rsid w:val="00373790"/>
    <w:rsid w:val="0039282A"/>
    <w:rsid w:val="003C1B19"/>
    <w:rsid w:val="003C7E47"/>
    <w:rsid w:val="003D3EF7"/>
    <w:rsid w:val="004066B7"/>
    <w:rsid w:val="00425592"/>
    <w:rsid w:val="004B7DDA"/>
    <w:rsid w:val="00521259"/>
    <w:rsid w:val="005640ED"/>
    <w:rsid w:val="00575766"/>
    <w:rsid w:val="00575F36"/>
    <w:rsid w:val="00585527"/>
    <w:rsid w:val="005B3A0C"/>
    <w:rsid w:val="005B4DA9"/>
    <w:rsid w:val="005E3DA1"/>
    <w:rsid w:val="00606FB4"/>
    <w:rsid w:val="006750CC"/>
    <w:rsid w:val="00677A5B"/>
    <w:rsid w:val="006A532D"/>
    <w:rsid w:val="006A5514"/>
    <w:rsid w:val="006A6377"/>
    <w:rsid w:val="006B7433"/>
    <w:rsid w:val="006D0CD0"/>
    <w:rsid w:val="00706338"/>
    <w:rsid w:val="00706A1E"/>
    <w:rsid w:val="00707E22"/>
    <w:rsid w:val="0074610F"/>
    <w:rsid w:val="007512A0"/>
    <w:rsid w:val="00752F2D"/>
    <w:rsid w:val="007624A4"/>
    <w:rsid w:val="00764B3A"/>
    <w:rsid w:val="007806DC"/>
    <w:rsid w:val="00781A59"/>
    <w:rsid w:val="0079776E"/>
    <w:rsid w:val="007A0848"/>
    <w:rsid w:val="007E7C6B"/>
    <w:rsid w:val="0083704D"/>
    <w:rsid w:val="00843058"/>
    <w:rsid w:val="00851AB0"/>
    <w:rsid w:val="0088048C"/>
    <w:rsid w:val="00886E89"/>
    <w:rsid w:val="00887700"/>
    <w:rsid w:val="00895E1B"/>
    <w:rsid w:val="00897929"/>
    <w:rsid w:val="009030B3"/>
    <w:rsid w:val="00917557"/>
    <w:rsid w:val="009201A8"/>
    <w:rsid w:val="00931EB4"/>
    <w:rsid w:val="0095314D"/>
    <w:rsid w:val="00985949"/>
    <w:rsid w:val="00987A88"/>
    <w:rsid w:val="00A372D2"/>
    <w:rsid w:val="00A501F6"/>
    <w:rsid w:val="00A82F79"/>
    <w:rsid w:val="00A83144"/>
    <w:rsid w:val="00A962DB"/>
    <w:rsid w:val="00AB4CE3"/>
    <w:rsid w:val="00AC1631"/>
    <w:rsid w:val="00AE567F"/>
    <w:rsid w:val="00B02770"/>
    <w:rsid w:val="00B07AFC"/>
    <w:rsid w:val="00B15AAA"/>
    <w:rsid w:val="00B15E2D"/>
    <w:rsid w:val="00B26E22"/>
    <w:rsid w:val="00B62C6B"/>
    <w:rsid w:val="00B976E5"/>
    <w:rsid w:val="00BC1F23"/>
    <w:rsid w:val="00C2279E"/>
    <w:rsid w:val="00C33ECE"/>
    <w:rsid w:val="00C55FB2"/>
    <w:rsid w:val="00CF3729"/>
    <w:rsid w:val="00D049FC"/>
    <w:rsid w:val="00DA0049"/>
    <w:rsid w:val="00DB66E4"/>
    <w:rsid w:val="00DC7DFC"/>
    <w:rsid w:val="00DD0606"/>
    <w:rsid w:val="00E16AF8"/>
    <w:rsid w:val="00E45687"/>
    <w:rsid w:val="00E515DC"/>
    <w:rsid w:val="00E54FB3"/>
    <w:rsid w:val="00E6273F"/>
    <w:rsid w:val="00EE2624"/>
    <w:rsid w:val="00F03011"/>
    <w:rsid w:val="00F16617"/>
    <w:rsid w:val="00F40AC7"/>
    <w:rsid w:val="00F6147B"/>
    <w:rsid w:val="00F62979"/>
    <w:rsid w:val="00F70459"/>
    <w:rsid w:val="00F861F8"/>
    <w:rsid w:val="00F90B95"/>
    <w:rsid w:val="00F931A4"/>
    <w:rsid w:val="00FA6DC9"/>
    <w:rsid w:val="00FB5429"/>
    <w:rsid w:val="00FD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80E9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SimSun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SimSun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SimSun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SimSun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SimSun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SimSu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SimSun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SimSun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SimSun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76E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76E"/>
    <w:rPr>
      <w:rFonts w:ascii="Segoe UI" w:eastAsia="SimSu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zh-cn/help/2670838/platform-update-for-windows-7-sp1-and-windows-server-2008-r2-sp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logs.msdn.microsoft.com/chuckw/2013/02/26/directx-11-1-and-windows-7-update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2017-05-10T00:42:00Z</dcterms:created>
  <dcterms:modified xsi:type="dcterms:W3CDTF">2019-06-21T15:08:00Z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2017-11-02T01:03:42.7071131Z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