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DE1BC"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09BE61A4" wp14:editId="67B49177">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019A8B0" w14:textId="77777777" w:rsidR="00764B3A" w:rsidRPr="00AE567F" w:rsidRDefault="00172679" w:rsidP="00AE567F">
      <w:pPr>
        <w:pStyle w:val="Title"/>
      </w:pPr>
      <w:r>
        <w:t>Simple Lighting</w:t>
      </w:r>
      <w:r w:rsidR="00F70459">
        <w:t xml:space="preserve"> Sample</w:t>
      </w:r>
      <w:r w:rsidR="001B2BD7">
        <w:t xml:space="preserve"> (DX12)</w:t>
      </w:r>
    </w:p>
    <w:p w14:paraId="2E964C8F" w14:textId="77777777" w:rsidR="007B1CF9" w:rsidRDefault="007B1CF9" w:rsidP="007B1CF9">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14:paraId="462496F3" w14:textId="77777777" w:rsidR="00530D96" w:rsidRPr="00530D96" w:rsidRDefault="00530D96" w:rsidP="00530D96">
      <w:bookmarkStart w:id="0" w:name="_GoBack"/>
      <w:bookmarkEnd w:id="0"/>
    </w:p>
    <w:p w14:paraId="04BFCBB6" w14:textId="77777777" w:rsidR="00764B3A" w:rsidRDefault="00281D12" w:rsidP="00AE567F">
      <w:pPr>
        <w:pStyle w:val="Heading1"/>
        <w:spacing w:before="0"/>
      </w:pPr>
      <w:r>
        <w:t>Description</w:t>
      </w:r>
    </w:p>
    <w:p w14:paraId="4CF6BA04" w14:textId="77777777"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Lambertian lighting.</w:t>
      </w:r>
    </w:p>
    <w:p w14:paraId="304B0E6F" w14:textId="77777777" w:rsidR="00172679" w:rsidRDefault="00172679" w:rsidP="00172679">
      <w:pPr>
        <w:rPr>
          <w:rFonts w:cs="Segoe UI"/>
        </w:rPr>
      </w:pPr>
    </w:p>
    <w:p w14:paraId="4A759024" w14:textId="77777777" w:rsidR="00172679" w:rsidRDefault="00172679" w:rsidP="00172679">
      <w:r>
        <w:t xml:space="preserve">The sample renders a large cube that is lit by two lights, one white and one red, also represented as cubes. The white light is stationary while the red light </w:t>
      </w:r>
      <w:r w:rsidR="00E6537C">
        <w:t>orbits</w:t>
      </w:r>
      <w:r>
        <w:t xml:space="preserve"> around the central cube. The central cube also rotates. The motion allows you to observe the effects of the colored lights from different angles.</w:t>
      </w:r>
    </w:p>
    <w:p w14:paraId="1B278A6D" w14:textId="77777777" w:rsidR="00D04E02" w:rsidRPr="00954F86" w:rsidRDefault="00D04E02" w:rsidP="00172679"/>
    <w:p w14:paraId="56F626CD" w14:textId="77777777" w:rsidR="00281D12" w:rsidRDefault="00D04E02" w:rsidP="00281D12">
      <w:r>
        <w:rPr>
          <w:noProof/>
        </w:rPr>
        <w:drawing>
          <wp:inline distT="0" distB="0" distL="0" distR="0" wp14:anchorId="153D679D" wp14:editId="6FBC9C4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3B70F2" w14:textId="77777777" w:rsidR="00281D12" w:rsidRDefault="00281D12" w:rsidP="00281D12">
      <w:pPr>
        <w:pStyle w:val="Heading1"/>
      </w:pPr>
      <w:r>
        <w:t>Using the sample</w:t>
      </w:r>
    </w:p>
    <w:p w14:paraId="4F68D206"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14:paraId="4A1CFB4D" w14:textId="77777777"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14:paraId="034E0F6B" w14:textId="77777777" w:rsidR="00E16AF8" w:rsidRPr="00C42F0D" w:rsidRDefault="00E16AF8" w:rsidP="005E6344">
            <w:pPr>
              <w:pStyle w:val="Tableheading"/>
              <w:rPr>
                <w:bCs w:val="0"/>
              </w:rPr>
            </w:pPr>
            <w:r w:rsidRPr="00160A8A">
              <w:t>Action</w:t>
            </w:r>
          </w:p>
        </w:tc>
        <w:tc>
          <w:tcPr>
            <w:tcW w:w="1527" w:type="pct"/>
            <w:hideMark/>
          </w:tcPr>
          <w:p w14:paraId="64B22A2D" w14:textId="77777777" w:rsidR="00E16AF8" w:rsidRPr="00C42F0D" w:rsidRDefault="00E16AF8" w:rsidP="005E6344">
            <w:pPr>
              <w:pStyle w:val="Tableheading"/>
              <w:rPr>
                <w:bCs w:val="0"/>
              </w:rPr>
            </w:pPr>
            <w:r>
              <w:t>Gamepad</w:t>
            </w:r>
          </w:p>
        </w:tc>
        <w:tc>
          <w:tcPr>
            <w:tcW w:w="1339" w:type="pct"/>
          </w:tcPr>
          <w:p w14:paraId="2208E3EF" w14:textId="77777777" w:rsidR="00E16AF8" w:rsidRDefault="00E16AF8" w:rsidP="005E6344">
            <w:pPr>
              <w:pStyle w:val="Tableheading"/>
            </w:pPr>
            <w:r>
              <w:t>Keyboard</w:t>
            </w:r>
          </w:p>
        </w:tc>
      </w:tr>
      <w:tr w:rsidR="00A0279B" w14:paraId="13397390" w14:textId="77777777" w:rsidTr="00172679">
        <w:trPr>
          <w:trHeight w:val="469"/>
        </w:trPr>
        <w:tc>
          <w:tcPr>
            <w:tcW w:w="2134" w:type="pct"/>
          </w:tcPr>
          <w:p w14:paraId="54E18AA5" w14:textId="77777777" w:rsidR="00A0279B" w:rsidRDefault="00A0279B" w:rsidP="005E6344">
            <w:pPr>
              <w:pStyle w:val="Tablebody"/>
            </w:pPr>
            <w:r>
              <w:t>Exit</w:t>
            </w:r>
          </w:p>
        </w:tc>
        <w:tc>
          <w:tcPr>
            <w:tcW w:w="1527" w:type="pct"/>
          </w:tcPr>
          <w:p w14:paraId="6B90B554" w14:textId="77777777" w:rsidR="00A0279B" w:rsidRDefault="00A0279B" w:rsidP="005E6344">
            <w:pPr>
              <w:pStyle w:val="Tablebody"/>
            </w:pPr>
            <w:r>
              <w:t>View Button</w:t>
            </w:r>
          </w:p>
        </w:tc>
        <w:tc>
          <w:tcPr>
            <w:tcW w:w="1339" w:type="pct"/>
          </w:tcPr>
          <w:p w14:paraId="29894C1B" w14:textId="77777777" w:rsidR="00A0279B" w:rsidRDefault="00A0279B" w:rsidP="005E6344">
            <w:pPr>
              <w:pStyle w:val="Tablebody"/>
            </w:pPr>
            <w:r>
              <w:t>Esc</w:t>
            </w:r>
          </w:p>
        </w:tc>
      </w:tr>
    </w:tbl>
    <w:p w14:paraId="1E13274B" w14:textId="77777777" w:rsidR="00E16AF8" w:rsidRDefault="00E16AF8" w:rsidP="00331038"/>
    <w:p w14:paraId="5FD722C3" w14:textId="77777777" w:rsidR="00575766" w:rsidRDefault="00575766">
      <w:pPr>
        <w:spacing w:after="160" w:line="259" w:lineRule="auto"/>
      </w:pPr>
      <w:r>
        <w:br w:type="page"/>
      </w:r>
    </w:p>
    <w:p w14:paraId="5B5D8DB9" w14:textId="77777777" w:rsidR="003D3EF7" w:rsidRDefault="003D3EF7" w:rsidP="003D3EF7">
      <w:pPr>
        <w:pStyle w:val="Heading1"/>
      </w:pPr>
      <w:r>
        <w:lastRenderedPageBreak/>
        <w:t>Implementation notes</w:t>
      </w:r>
    </w:p>
    <w:p w14:paraId="2F12C7DA" w14:textId="77777777" w:rsidR="00E6537C" w:rsidRDefault="00E6537C" w:rsidP="00E6537C">
      <w:pPr>
        <w:pStyle w:val="Heading2"/>
      </w:pPr>
      <w:r>
        <w:t>Shaders</w:t>
      </w:r>
    </w:p>
    <w:p w14:paraId="7E89C145" w14:textId="77777777"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 xml:space="preserve">The sample uses three shaders to render the scene – a vertex shader (“TriangleVS”) and two pixel shaders (“LambertPS”, “SolidColorPS”.) The compiled shader blobs are loaded in CreateDeviceDependentResources and then referenced when creating the </w:t>
      </w:r>
      <w:r w:rsidR="00E6537C" w:rsidRPr="00E6537C">
        <w:rPr>
          <w:rFonts w:eastAsiaTheme="minorHAnsi" w:cs="Segoe UI"/>
          <w:b w:val="0"/>
          <w:sz w:val="20"/>
          <w:szCs w:val="22"/>
        </w:rPr>
        <w:t>Pipeline State Objects for each of the shader combinations</w:t>
      </w:r>
      <w:r w:rsidRPr="00E6537C">
        <w:rPr>
          <w:rFonts w:eastAsiaTheme="minorHAnsi" w:cs="Segoe UI"/>
          <w:b w:val="0"/>
          <w:sz w:val="20"/>
          <w:szCs w:val="22"/>
        </w:rPr>
        <w:t xml:space="preserve">.  All shaders are defined in the same HLSL include file, “SimpleLighting.hlsli” and three stub shaders include this file. Each stub shader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in order to create the three shader blobs.</w:t>
      </w:r>
    </w:p>
    <w:p w14:paraId="05C8746C" w14:textId="77777777" w:rsidR="00E6537C" w:rsidRPr="00E6537C" w:rsidRDefault="00E6537C" w:rsidP="00E6537C"/>
    <w:p w14:paraId="76270C8D" w14:textId="77777777" w:rsidR="00E6537C" w:rsidRDefault="00E6537C" w:rsidP="00E6537C">
      <w:pPr>
        <w:pStyle w:val="Heading2"/>
      </w:pPr>
      <w:r>
        <w:t>Pipeline State Objects (PSOs)</w:t>
      </w:r>
    </w:p>
    <w:p w14:paraId="53197BB3" w14:textId="77777777" w:rsidR="008F18B8" w:rsidRDefault="00EF634D" w:rsidP="00E6537C">
      <w:r>
        <w:t xml:space="preserve">The Simple Lighting sample has two unique shader combinations: first is TriangleVS combined with LambertPS and the second is TriangleVS with SolidColorPS. </w:t>
      </w:r>
      <w:r w:rsidR="00E6537C">
        <w:t xml:space="preserve">In DirectX 12, you need to create a Pipeline State Object (PSO) for every unique shader combination. As the name suggests, the PSO encapsulates all the pipeline state that you will need for possibly several draw calls using a particular set of shaders. The PSO </w:t>
      </w:r>
      <w:r>
        <w:t>combines a root signature, shaders for the various stages of the pipeline, state settings such as rasterizer state, depth stencil state, blend state, etc. (for more details see the documentation on MSDN.)</w:t>
      </w:r>
    </w:p>
    <w:p w14:paraId="13AB733F" w14:textId="77777777" w:rsidR="008F18B8" w:rsidRDefault="008F18B8" w:rsidP="00E6537C"/>
    <w:p w14:paraId="3370FCF9" w14:textId="77777777" w:rsidR="008F18B8" w:rsidRDefault="008F18B8" w:rsidP="008F18B8">
      <w:pPr>
        <w:pStyle w:val="Heading2"/>
      </w:pPr>
      <w:r>
        <w:t>Root Signature</w:t>
      </w:r>
    </w:p>
    <w:p w14:paraId="10A5A212" w14:textId="77777777"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shader for the sample needs only a single structure for the shader constants and so the root signature is consequently very simple. The root signature contains a single root parameter of type ConstantBufferView. </w:t>
      </w:r>
    </w:p>
    <w:p w14:paraId="3D473633" w14:textId="77777777" w:rsidR="00EF634D" w:rsidRDefault="00EF634D" w:rsidP="00E6537C"/>
    <w:p w14:paraId="6FF71C10" w14:textId="77777777" w:rsidR="00EF634D" w:rsidRDefault="00EF634D" w:rsidP="00EF634D">
      <w:pPr>
        <w:pStyle w:val="Heading2"/>
      </w:pPr>
      <w:r>
        <w:t>Geometry</w:t>
      </w:r>
    </w:p>
    <w:p w14:paraId="75FC9456" w14:textId="77777777"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r w:rsidR="00AA1D44">
        <w:rPr>
          <w:rFonts w:eastAsiaTheme="minorHAnsi" w:cs="Times New Roman"/>
          <w:b w:val="0"/>
          <w:sz w:val="20"/>
          <w:szCs w:val="22"/>
        </w:rPr>
        <w:t>Sample::</w:t>
      </w:r>
      <w:r w:rsidR="00EF634D">
        <w:rPr>
          <w:rFonts w:eastAsiaTheme="minorHAnsi" w:cs="Times New Roman"/>
          <w:b w:val="0"/>
          <w:sz w:val="20"/>
          <w:szCs w:val="22"/>
        </w:rPr>
        <w:t xml:space="preserve">CreateDeviceDependentResources where they are immediately used </w:t>
      </w:r>
      <w:r w:rsidR="004A6BDA">
        <w:rPr>
          <w:rFonts w:eastAsiaTheme="minorHAnsi" w:cs="Times New Roman"/>
          <w:b w:val="0"/>
          <w:sz w:val="20"/>
          <w:szCs w:val="22"/>
        </w:rPr>
        <w:t xml:space="preserve">by ID3D12Device::CreateCommittedResource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14:paraId="75D39143" w14:textId="77777777" w:rsidR="00AA1D44" w:rsidRDefault="00AA1D44" w:rsidP="00AA1D44"/>
    <w:p w14:paraId="5078B871" w14:textId="77777777" w:rsidR="00AA1D44" w:rsidRDefault="00AA1D44" w:rsidP="00AA1D44">
      <w:r>
        <w:t>Once the buffers for the geometry are create, the sample can create a D3D12_VERTEX_BUFFER_VIEW for the vertices and a D3D12_INDEX_BUFFER_VIEW for the indices. The views are used in Sample::Render when setting up the input assembler via calls to ID3D12GraphicsCommandList::IASetVertextBuffer and ID3D12GraphicsCommandList::IASetVertextBuffer.</w:t>
      </w:r>
    </w:p>
    <w:p w14:paraId="42489FB1" w14:textId="77777777" w:rsidR="00AA1D44" w:rsidRDefault="00AA1D44" w:rsidP="00AA1D44"/>
    <w:p w14:paraId="77231E91" w14:textId="77777777" w:rsidR="00AA1D44" w:rsidRDefault="008F18B8" w:rsidP="00AA1D44">
      <w:pPr>
        <w:pStyle w:val="Heading2"/>
      </w:pPr>
      <w:r>
        <w:t xml:space="preserve">Managing </w:t>
      </w:r>
      <w:r w:rsidR="00AA1D44">
        <w:t>Shader Constants</w:t>
      </w:r>
    </w:p>
    <w:p w14:paraId="195895A4" w14:textId="77777777" w:rsidR="00172679" w:rsidRPr="00AD6789" w:rsidRDefault="00AA1D44" w:rsidP="00AA1D44">
      <w:pPr>
        <w:rPr>
          <w:rFonts w:cs="Segoe UI"/>
        </w:rPr>
      </w:pPr>
      <w:r>
        <w:t>F</w:t>
      </w:r>
      <w:r w:rsidR="00172679">
        <w:rPr>
          <w:rFonts w:cs="Segoe UI"/>
        </w:rPr>
        <w:t>or this very simple scene, all the shader constants are lumped together into a single constant buffer which contains the following:</w:t>
      </w:r>
    </w:p>
    <w:p w14:paraId="76717CE2"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14:paraId="7AD0CECD" w14:textId="77777777"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14:paraId="379A9379"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14:paraId="40184C51" w14:textId="77777777"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14:paraId="7F34A493" w14:textId="77777777"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shader constants need to be updated multiple times per frame in between draw calls. </w:t>
      </w:r>
      <w:r w:rsidR="00D368AE">
        <w:rPr>
          <w:rFonts w:cs="Segoe UI"/>
        </w:rPr>
        <w:t>Recall that the root signature contains a single root parameter of type ConstantBufferView which will need to reference a copy of the shader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14:paraId="219AA3D9" w14:textId="77777777"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free buffer for the CPU to write to. All the constant buffers are stored in a single contiguous upload buffer created in Sample::CreateDeviceDependentResources. The upload buffer is immediately mapped to obtain the base memory address for both the CPU address space and the GPU address space.</w:t>
      </w:r>
    </w:p>
    <w:p w14:paraId="448C8CD4" w14:textId="77777777" w:rsidR="00236B25" w:rsidRDefault="00236B25" w:rsidP="00AA1D44">
      <w:pPr>
        <w:spacing w:before="144" w:after="144"/>
      </w:pPr>
      <w:r>
        <w:rPr>
          <w:rFonts w:cs="Segoe UI"/>
        </w:rPr>
        <w:t xml:space="preserve">In the Sample::Render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ID3D12GraphicsCommandList::SetGraphicsRootConstantBufferView. The index must account for the back buffer cadence as well as the draw count. For more details please see the Sample::Render implementation.</w:t>
      </w:r>
    </w:p>
    <w:p w14:paraId="5F03886A" w14:textId="77777777" w:rsidR="003A7CD3" w:rsidRDefault="003A7CD3" w:rsidP="003A7CD3">
      <w:pPr>
        <w:pStyle w:val="Heading2"/>
      </w:pPr>
      <w:r>
        <w:t>CPU/GPU Synchronization</w:t>
      </w:r>
    </w:p>
    <w:p w14:paraId="25953DD3" w14:textId="77777777" w:rsidR="003A7CD3" w:rsidRDefault="003A7CD3" w:rsidP="003A7CD3">
      <w:r>
        <w:t xml:space="preserve">If the CPU is able to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some kind of synchronization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14:paraId="69719008" w14:textId="77777777" w:rsidR="00AF41EE" w:rsidRDefault="00AF41EE" w:rsidP="003A7CD3"/>
    <w:p w14:paraId="44AF6E94" w14:textId="77777777" w:rsidR="00AF41EE" w:rsidRDefault="00AF41EE" w:rsidP="00AF41EE">
      <w:pPr>
        <w:pStyle w:val="Heading2"/>
      </w:pPr>
      <w:r>
        <w:t>UWP on Xbox</w:t>
      </w:r>
    </w:p>
    <w:p w14:paraId="1931FE48" w14:textId="77777777" w:rsidR="00AF41EE" w:rsidRPr="00142D1A" w:rsidRDefault="00AF41EE" w:rsidP="00AF41EE">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0"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14:paraId="2DF4D3D1" w14:textId="77777777" w:rsidR="003D3EF7" w:rsidRDefault="003D3EF7" w:rsidP="003D3EF7">
      <w:pPr>
        <w:pStyle w:val="Heading1"/>
      </w:pPr>
      <w:r>
        <w:t>Update history</w:t>
      </w:r>
    </w:p>
    <w:p w14:paraId="246ED397" w14:textId="77777777" w:rsidR="00AF41EE" w:rsidRDefault="005B2E4D" w:rsidP="00AF41EE">
      <w:r>
        <w:t xml:space="preserve">Initial version </w:t>
      </w:r>
      <w:r w:rsidR="00E6537C">
        <w:t>June 2016.</w:t>
      </w:r>
      <w:r w:rsidR="00AF41EE">
        <w:t xml:space="preserve"> Updated October 2017 for UWP on Xbox One.</w:t>
      </w:r>
    </w:p>
    <w:p w14:paraId="4AB81974" w14:textId="77777777" w:rsidR="00E6537C" w:rsidRPr="00EB7866" w:rsidRDefault="00E6537C" w:rsidP="008162BD"/>
    <w:p w14:paraId="13B54991" w14:textId="77777777" w:rsidR="00D0379C" w:rsidRDefault="00D0379C" w:rsidP="00D0379C">
      <w:pPr>
        <w:pStyle w:val="Heading1"/>
      </w:pPr>
      <w:r>
        <w:lastRenderedPageBreak/>
        <w:t>Privacy statement</w:t>
      </w:r>
    </w:p>
    <w:p w14:paraId="2CD3EBA9" w14:textId="77777777" w:rsidR="00D0379C" w:rsidRPr="004B7280" w:rsidRDefault="00D0379C" w:rsidP="00D0379C">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9047DC5" w14:textId="77777777" w:rsidR="00D0379C" w:rsidRPr="004B7280" w:rsidRDefault="00D0379C" w:rsidP="00D0379C">
      <w:pPr>
        <w:rPr>
          <w:rFonts w:cs="Segoe UI"/>
          <w:szCs w:val="20"/>
        </w:rPr>
      </w:pPr>
    </w:p>
    <w:p w14:paraId="1C59E46E" w14:textId="77777777" w:rsidR="00D0379C" w:rsidRPr="004B7280" w:rsidRDefault="00D0379C" w:rsidP="00D0379C">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14:paraId="3F9D1F16" w14:textId="77777777" w:rsidR="00575766" w:rsidRPr="00331038" w:rsidRDefault="00575766" w:rsidP="00331038"/>
    <w:sectPr w:rsidR="00575766" w:rsidRPr="00331038"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3B7C2" w14:textId="77777777" w:rsidR="00A92F99" w:rsidRDefault="00A92F99" w:rsidP="0074610F">
      <w:r>
        <w:separator/>
      </w:r>
    </w:p>
  </w:endnote>
  <w:endnote w:type="continuationSeparator" w:id="0">
    <w:p w14:paraId="18612E84" w14:textId="77777777" w:rsidR="00A92F99" w:rsidRDefault="00A92F9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57A25" w14:textId="77777777" w:rsidR="0072232D" w:rsidRDefault="00722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249BD52" w14:textId="77777777" w:rsidTr="00E37847">
      <w:tc>
        <w:tcPr>
          <w:tcW w:w="4500" w:type="pct"/>
          <w:tcBorders>
            <w:top w:val="single" w:sz="4" w:space="0" w:color="808080" w:themeColor="background1" w:themeShade="80"/>
          </w:tcBorders>
          <w:shd w:val="clear" w:color="auto" w:fill="auto"/>
        </w:tcPr>
        <w:p w14:paraId="2F947729" w14:textId="538A8EBC"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543A827" wp14:editId="0F968E8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7B1CF9">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r w:rsidR="001B2BD7">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6DAC33B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2232D">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61F09661"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331C411" w14:textId="77777777" w:rsidTr="00F70459">
      <w:tc>
        <w:tcPr>
          <w:tcW w:w="4500" w:type="pct"/>
          <w:tcBorders>
            <w:top w:val="single" w:sz="4" w:space="0" w:color="808080" w:themeColor="background1" w:themeShade="80"/>
          </w:tcBorders>
          <w:shd w:val="clear" w:color="auto" w:fill="auto"/>
        </w:tcPr>
        <w:p w14:paraId="4F8706D1" w14:textId="176D17C3"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B1CF9">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430B809" wp14:editId="6C11065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A1D5AD1"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73B863C"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E0A9A" w14:textId="77777777" w:rsidR="00A92F99" w:rsidRDefault="00A92F99" w:rsidP="0074610F">
      <w:r>
        <w:separator/>
      </w:r>
    </w:p>
  </w:footnote>
  <w:footnote w:type="continuationSeparator" w:id="0">
    <w:p w14:paraId="071274C4" w14:textId="77777777" w:rsidR="00A92F99" w:rsidRDefault="00A92F9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65C17" w14:textId="77777777" w:rsidR="0072232D" w:rsidRDefault="00722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C42BD" w14:textId="77777777" w:rsidR="0072232D" w:rsidRDefault="00722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D8B1914" w14:textId="77777777" w:rsidTr="000B6D5E">
      <w:trPr>
        <w:trHeight w:val="1340"/>
      </w:trPr>
      <w:tc>
        <w:tcPr>
          <w:tcW w:w="12240" w:type="dxa"/>
          <w:tcBorders>
            <w:top w:val="nil"/>
            <w:left w:val="nil"/>
            <w:bottom w:val="nil"/>
            <w:right w:val="nil"/>
          </w:tcBorders>
          <w:shd w:val="clear" w:color="auto" w:fill="323232"/>
        </w:tcPr>
        <w:p w14:paraId="74F3B27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E8ED3DA" w14:textId="77777777" w:rsidTr="000B6D5E">
            <w:trPr>
              <w:gridAfter w:val="2"/>
              <w:wAfter w:w="2008" w:type="dxa"/>
            </w:trPr>
            <w:tc>
              <w:tcPr>
                <w:tcW w:w="1152" w:type="dxa"/>
                <w:shd w:val="clear" w:color="auto" w:fill="323232"/>
              </w:tcPr>
              <w:p w14:paraId="4411A83D" w14:textId="77777777" w:rsidR="000B6D5E" w:rsidRDefault="000B6D5E" w:rsidP="00CF3729">
                <w:pPr>
                  <w:pStyle w:val="atgtitle"/>
                  <w:rPr>
                    <w:sz w:val="2"/>
                    <w:szCs w:val="2"/>
                  </w:rPr>
                </w:pPr>
              </w:p>
              <w:p w14:paraId="74700A7E" w14:textId="77777777" w:rsidR="000B6D5E" w:rsidRPr="000B6D5E" w:rsidRDefault="000B6D5E" w:rsidP="000B6D5E"/>
              <w:p w14:paraId="094F77EA" w14:textId="77777777" w:rsidR="000B6D5E" w:rsidRDefault="000B6D5E" w:rsidP="000B6D5E"/>
              <w:p w14:paraId="48B81477" w14:textId="77777777" w:rsidR="000B6D5E" w:rsidRPr="000B6D5E" w:rsidRDefault="000B6D5E" w:rsidP="000B6D5E">
                <w:pPr>
                  <w:jc w:val="center"/>
                </w:pPr>
              </w:p>
            </w:tc>
            <w:tc>
              <w:tcPr>
                <w:tcW w:w="19" w:type="dxa"/>
                <w:shd w:val="clear" w:color="auto" w:fill="323232"/>
              </w:tcPr>
              <w:p w14:paraId="58F5E582"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C72829E" w14:textId="77777777" w:rsidR="000B6D5E" w:rsidRDefault="000B6D5E" w:rsidP="00CF3729">
                <w:pPr>
                  <w:pStyle w:val="atgtitle"/>
                  <w:rPr>
                    <w:sz w:val="2"/>
                    <w:szCs w:val="2"/>
                  </w:rPr>
                </w:pPr>
              </w:p>
              <w:p w14:paraId="0009D1CD" w14:textId="77777777" w:rsidR="000B6D5E" w:rsidRDefault="000B6D5E" w:rsidP="00CF3729">
                <w:pPr>
                  <w:pStyle w:val="atgtitle"/>
                  <w:rPr>
                    <w:sz w:val="2"/>
                    <w:szCs w:val="2"/>
                  </w:rPr>
                </w:pPr>
              </w:p>
              <w:p w14:paraId="13C25641" w14:textId="77777777" w:rsidR="000B6D5E" w:rsidRDefault="000B6D5E" w:rsidP="00CF3729">
                <w:pPr>
                  <w:pStyle w:val="atgtitle"/>
                  <w:rPr>
                    <w:sz w:val="2"/>
                    <w:szCs w:val="2"/>
                  </w:rPr>
                </w:pPr>
              </w:p>
              <w:p w14:paraId="2173B89C" w14:textId="77777777" w:rsidR="000B6D5E" w:rsidRDefault="000B6D5E" w:rsidP="00CF3729">
                <w:pPr>
                  <w:pStyle w:val="atgtitle"/>
                  <w:rPr>
                    <w:sz w:val="2"/>
                    <w:szCs w:val="2"/>
                  </w:rPr>
                </w:pPr>
              </w:p>
              <w:p w14:paraId="6F7DF442" w14:textId="77777777" w:rsidR="000B6D5E" w:rsidRDefault="000B6D5E" w:rsidP="00CF3729">
                <w:pPr>
                  <w:pStyle w:val="atgtitle"/>
                  <w:rPr>
                    <w:sz w:val="2"/>
                    <w:szCs w:val="2"/>
                  </w:rPr>
                </w:pPr>
              </w:p>
              <w:p w14:paraId="4E106975" w14:textId="77777777" w:rsidR="000B6D5E" w:rsidRDefault="000B6D5E" w:rsidP="00CF3729">
                <w:pPr>
                  <w:pStyle w:val="atgtitle"/>
                  <w:rPr>
                    <w:sz w:val="2"/>
                    <w:szCs w:val="2"/>
                  </w:rPr>
                </w:pPr>
              </w:p>
              <w:p w14:paraId="66AA937B" w14:textId="77777777" w:rsidR="000B6D5E" w:rsidRDefault="000B6D5E" w:rsidP="00CF3729">
                <w:pPr>
                  <w:pStyle w:val="atgtitle"/>
                  <w:rPr>
                    <w:sz w:val="2"/>
                    <w:szCs w:val="2"/>
                  </w:rPr>
                </w:pPr>
              </w:p>
              <w:p w14:paraId="38E8B7B1" w14:textId="77777777" w:rsidR="000B6D5E" w:rsidRDefault="000B6D5E" w:rsidP="00CF3729">
                <w:pPr>
                  <w:pStyle w:val="atgtitle"/>
                  <w:rPr>
                    <w:sz w:val="2"/>
                    <w:szCs w:val="2"/>
                  </w:rPr>
                </w:pPr>
              </w:p>
              <w:p w14:paraId="52DBCB41" w14:textId="77777777" w:rsidR="000B6D5E" w:rsidRDefault="000B6D5E" w:rsidP="00CF3729">
                <w:pPr>
                  <w:pStyle w:val="atgtitle"/>
                  <w:rPr>
                    <w:sz w:val="2"/>
                    <w:szCs w:val="2"/>
                  </w:rPr>
                </w:pPr>
              </w:p>
              <w:p w14:paraId="5511612B" w14:textId="77777777" w:rsidR="000B6D5E" w:rsidRDefault="000B6D5E" w:rsidP="00CF3729">
                <w:pPr>
                  <w:pStyle w:val="atgtitle"/>
                  <w:rPr>
                    <w:sz w:val="2"/>
                    <w:szCs w:val="2"/>
                  </w:rPr>
                </w:pPr>
              </w:p>
              <w:p w14:paraId="16C97F52" w14:textId="77777777" w:rsidR="000B6D5E" w:rsidRDefault="000B6D5E" w:rsidP="00CF3729">
                <w:pPr>
                  <w:pStyle w:val="atgtitle"/>
                  <w:rPr>
                    <w:sz w:val="2"/>
                    <w:szCs w:val="2"/>
                  </w:rPr>
                </w:pPr>
              </w:p>
              <w:p w14:paraId="4B263851" w14:textId="77777777" w:rsidR="000B6D5E" w:rsidRDefault="000B6D5E" w:rsidP="00CF3729">
                <w:pPr>
                  <w:pStyle w:val="atgtitle"/>
                  <w:rPr>
                    <w:sz w:val="2"/>
                    <w:szCs w:val="2"/>
                  </w:rPr>
                </w:pPr>
              </w:p>
              <w:p w14:paraId="144B58DD" w14:textId="77777777" w:rsidR="000B6D5E" w:rsidRDefault="000B6D5E" w:rsidP="00CF3729">
                <w:pPr>
                  <w:pStyle w:val="atgtitle"/>
                  <w:rPr>
                    <w:sz w:val="2"/>
                    <w:szCs w:val="2"/>
                  </w:rPr>
                </w:pPr>
              </w:p>
              <w:p w14:paraId="299CDD2B" w14:textId="77777777" w:rsidR="000B6D5E" w:rsidRDefault="000B6D5E" w:rsidP="00CF3729">
                <w:pPr>
                  <w:pStyle w:val="atgtitle"/>
                  <w:rPr>
                    <w:sz w:val="2"/>
                    <w:szCs w:val="2"/>
                  </w:rPr>
                </w:pPr>
              </w:p>
              <w:p w14:paraId="01DD8E05" w14:textId="77777777" w:rsidR="000B6D5E" w:rsidRDefault="000B6D5E" w:rsidP="00CF3729">
                <w:pPr>
                  <w:pStyle w:val="atgtitle"/>
                  <w:rPr>
                    <w:sz w:val="2"/>
                    <w:szCs w:val="2"/>
                  </w:rPr>
                </w:pPr>
              </w:p>
              <w:p w14:paraId="2B9E0FAA" w14:textId="77777777" w:rsidR="000B6D5E" w:rsidRDefault="000B6D5E" w:rsidP="00CF3729">
                <w:pPr>
                  <w:pStyle w:val="atgtitle"/>
                  <w:rPr>
                    <w:sz w:val="2"/>
                    <w:szCs w:val="2"/>
                  </w:rPr>
                </w:pPr>
              </w:p>
              <w:p w14:paraId="69CBA8ED" w14:textId="77777777" w:rsidR="000B6D5E" w:rsidRDefault="000B6D5E" w:rsidP="00CF3729">
                <w:pPr>
                  <w:pStyle w:val="atgtitle"/>
                  <w:rPr>
                    <w:sz w:val="2"/>
                    <w:szCs w:val="2"/>
                  </w:rPr>
                </w:pPr>
              </w:p>
              <w:p w14:paraId="451C7778" w14:textId="77777777" w:rsidR="000B6D5E" w:rsidRDefault="000B6D5E" w:rsidP="00CF3729">
                <w:pPr>
                  <w:pStyle w:val="atgtitle"/>
                  <w:rPr>
                    <w:sz w:val="2"/>
                    <w:szCs w:val="2"/>
                  </w:rPr>
                </w:pPr>
              </w:p>
              <w:p w14:paraId="70201B98" w14:textId="77777777" w:rsidR="000B6D5E" w:rsidRPr="00CF3729" w:rsidRDefault="000B6D5E" w:rsidP="00CF3729">
                <w:pPr>
                  <w:pStyle w:val="atgtitle"/>
                  <w:rPr>
                    <w:sz w:val="2"/>
                    <w:szCs w:val="2"/>
                  </w:rPr>
                </w:pPr>
                <w:r w:rsidRPr="00CF3729">
                  <w:rPr>
                    <w:sz w:val="2"/>
                    <w:szCs w:val="2"/>
                  </w:rPr>
                  <w:t xml:space="preserve">         </w:t>
                </w:r>
              </w:p>
              <w:p w14:paraId="1ACF90BB" w14:textId="77777777" w:rsidR="000B6D5E" w:rsidRPr="00CF3729" w:rsidRDefault="000B6D5E" w:rsidP="00CF3729">
                <w:pPr>
                  <w:rPr>
                    <w:sz w:val="2"/>
                    <w:szCs w:val="2"/>
                  </w:rPr>
                </w:pPr>
                <w:r>
                  <w:rPr>
                    <w:noProof/>
                  </w:rPr>
                  <w:drawing>
                    <wp:inline distT="0" distB="0" distL="0" distR="0" wp14:anchorId="1DE77B69" wp14:editId="547629DC">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7F008D0" w14:textId="77777777" w:rsidR="000B6D5E" w:rsidRPr="00CF3729" w:rsidRDefault="000B6D5E" w:rsidP="00CF3729">
                <w:pPr>
                  <w:rPr>
                    <w:sz w:val="2"/>
                    <w:szCs w:val="2"/>
                  </w:rPr>
                </w:pPr>
              </w:p>
            </w:tc>
          </w:tr>
          <w:tr w:rsidR="000B6D5E" w:rsidRPr="00CF3729" w14:paraId="50D04243" w14:textId="77777777" w:rsidTr="000B6D5E">
            <w:trPr>
              <w:trHeight w:val="90"/>
            </w:trPr>
            <w:tc>
              <w:tcPr>
                <w:tcW w:w="1152" w:type="dxa"/>
                <w:shd w:val="clear" w:color="auto" w:fill="323232"/>
              </w:tcPr>
              <w:p w14:paraId="08622632" w14:textId="77777777" w:rsidR="000B6D5E" w:rsidRPr="00CF3729" w:rsidRDefault="000B6D5E" w:rsidP="00CF3729">
                <w:pPr>
                  <w:pStyle w:val="atgformheaders"/>
                  <w:rPr>
                    <w:sz w:val="2"/>
                    <w:szCs w:val="2"/>
                  </w:rPr>
                </w:pPr>
              </w:p>
            </w:tc>
            <w:tc>
              <w:tcPr>
                <w:tcW w:w="2027" w:type="dxa"/>
                <w:gridSpan w:val="2"/>
                <w:shd w:val="clear" w:color="auto" w:fill="323232"/>
              </w:tcPr>
              <w:p w14:paraId="385FF108"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3AE817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8A9AFF5" w14:textId="77777777" w:rsidR="000B6D5E" w:rsidRPr="00CF3729" w:rsidRDefault="000B6D5E" w:rsidP="00CF3729">
                <w:pPr>
                  <w:pStyle w:val="atgformheaders"/>
                  <w:rPr>
                    <w:sz w:val="2"/>
                    <w:szCs w:val="2"/>
                  </w:rPr>
                </w:pPr>
                <w:r w:rsidRPr="00CF3729">
                  <w:rPr>
                    <w:sz w:val="2"/>
                    <w:szCs w:val="2"/>
                  </w:rPr>
                  <w:t xml:space="preserve">            </w:t>
                </w:r>
              </w:p>
            </w:tc>
          </w:tr>
        </w:tbl>
        <w:p w14:paraId="608AF2A2" w14:textId="77777777" w:rsidR="00CF3729" w:rsidRPr="00CF3729" w:rsidRDefault="00CF3729">
          <w:pPr>
            <w:pStyle w:val="Header"/>
            <w:rPr>
              <w:sz w:val="2"/>
              <w:szCs w:val="2"/>
            </w:rPr>
          </w:pPr>
        </w:p>
      </w:tc>
    </w:tr>
  </w:tbl>
  <w:p w14:paraId="6C4DE124" w14:textId="77777777" w:rsidR="00CF3729" w:rsidRDefault="00CF3729">
    <w:pPr>
      <w:pStyle w:val="Header"/>
      <w:rPr>
        <w:sz w:val="2"/>
        <w:szCs w:val="2"/>
      </w:rPr>
    </w:pPr>
  </w:p>
  <w:p w14:paraId="02C309DC" w14:textId="77777777" w:rsidR="000B6D5E" w:rsidRDefault="000B6D5E">
    <w:pPr>
      <w:pStyle w:val="Header"/>
      <w:rPr>
        <w:sz w:val="2"/>
        <w:szCs w:val="2"/>
      </w:rPr>
    </w:pPr>
  </w:p>
  <w:p w14:paraId="0F5DE011" w14:textId="77777777" w:rsidR="000B6D5E" w:rsidRDefault="000B6D5E">
    <w:pPr>
      <w:pStyle w:val="Header"/>
      <w:rPr>
        <w:sz w:val="2"/>
        <w:szCs w:val="2"/>
      </w:rPr>
    </w:pPr>
  </w:p>
  <w:p w14:paraId="1F69A6ED" w14:textId="77777777" w:rsidR="000B6D5E" w:rsidRDefault="000B6D5E">
    <w:pPr>
      <w:pStyle w:val="Header"/>
      <w:rPr>
        <w:sz w:val="2"/>
        <w:szCs w:val="2"/>
      </w:rPr>
    </w:pPr>
  </w:p>
  <w:p w14:paraId="333585CD" w14:textId="77777777" w:rsidR="000B6D5E" w:rsidRDefault="000B6D5E">
    <w:pPr>
      <w:pStyle w:val="Header"/>
      <w:rPr>
        <w:sz w:val="2"/>
        <w:szCs w:val="2"/>
      </w:rPr>
    </w:pPr>
  </w:p>
  <w:p w14:paraId="275AC9B0" w14:textId="77777777" w:rsidR="000B6D5E" w:rsidRDefault="000B6D5E">
    <w:pPr>
      <w:pStyle w:val="Header"/>
      <w:rPr>
        <w:sz w:val="2"/>
        <w:szCs w:val="2"/>
      </w:rPr>
    </w:pPr>
  </w:p>
  <w:p w14:paraId="60F831F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CE2"/>
    <w:rsid w:val="000264E0"/>
    <w:rsid w:val="00097CA0"/>
    <w:rsid w:val="00097CCA"/>
    <w:rsid w:val="000B6018"/>
    <w:rsid w:val="000B6D5E"/>
    <w:rsid w:val="00150ED8"/>
    <w:rsid w:val="001724A4"/>
    <w:rsid w:val="00172679"/>
    <w:rsid w:val="00197D00"/>
    <w:rsid w:val="001B2BD7"/>
    <w:rsid w:val="001C132C"/>
    <w:rsid w:val="00203869"/>
    <w:rsid w:val="00236B25"/>
    <w:rsid w:val="0024713D"/>
    <w:rsid w:val="002741D2"/>
    <w:rsid w:val="002748E9"/>
    <w:rsid w:val="00281D12"/>
    <w:rsid w:val="00287A4C"/>
    <w:rsid w:val="00294A1B"/>
    <w:rsid w:val="002E7BBB"/>
    <w:rsid w:val="002F457D"/>
    <w:rsid w:val="003006DB"/>
    <w:rsid w:val="00303D44"/>
    <w:rsid w:val="00321170"/>
    <w:rsid w:val="00331038"/>
    <w:rsid w:val="00355166"/>
    <w:rsid w:val="003A7CD3"/>
    <w:rsid w:val="003D3EF7"/>
    <w:rsid w:val="00413103"/>
    <w:rsid w:val="00425592"/>
    <w:rsid w:val="004960B0"/>
    <w:rsid w:val="004A6BDA"/>
    <w:rsid w:val="004B7DDA"/>
    <w:rsid w:val="004D633C"/>
    <w:rsid w:val="00530D96"/>
    <w:rsid w:val="005640ED"/>
    <w:rsid w:val="00575766"/>
    <w:rsid w:val="00575F36"/>
    <w:rsid w:val="00585527"/>
    <w:rsid w:val="005B2E4D"/>
    <w:rsid w:val="005B4DA9"/>
    <w:rsid w:val="005E3DA1"/>
    <w:rsid w:val="00682938"/>
    <w:rsid w:val="00683D94"/>
    <w:rsid w:val="006A532D"/>
    <w:rsid w:val="006B7433"/>
    <w:rsid w:val="00707E22"/>
    <w:rsid w:val="0072232D"/>
    <w:rsid w:val="0074610F"/>
    <w:rsid w:val="007624A4"/>
    <w:rsid w:val="00764B3A"/>
    <w:rsid w:val="007806DC"/>
    <w:rsid w:val="007A0848"/>
    <w:rsid w:val="007B1CF9"/>
    <w:rsid w:val="008053F2"/>
    <w:rsid w:val="0080653F"/>
    <w:rsid w:val="008162BD"/>
    <w:rsid w:val="00822E5F"/>
    <w:rsid w:val="00843058"/>
    <w:rsid w:val="00886E89"/>
    <w:rsid w:val="00887700"/>
    <w:rsid w:val="008F18B8"/>
    <w:rsid w:val="00904FC3"/>
    <w:rsid w:val="00917557"/>
    <w:rsid w:val="00933655"/>
    <w:rsid w:val="00937E3A"/>
    <w:rsid w:val="00985949"/>
    <w:rsid w:val="00987A88"/>
    <w:rsid w:val="00A0279B"/>
    <w:rsid w:val="00A33B5E"/>
    <w:rsid w:val="00A92F99"/>
    <w:rsid w:val="00AA1D44"/>
    <w:rsid w:val="00AE567F"/>
    <w:rsid w:val="00AF41EE"/>
    <w:rsid w:val="00B15AAA"/>
    <w:rsid w:val="00B62C6B"/>
    <w:rsid w:val="00BC1F23"/>
    <w:rsid w:val="00CF3729"/>
    <w:rsid w:val="00D0379C"/>
    <w:rsid w:val="00D04E02"/>
    <w:rsid w:val="00D368AE"/>
    <w:rsid w:val="00D4511C"/>
    <w:rsid w:val="00D6453B"/>
    <w:rsid w:val="00DC7DFC"/>
    <w:rsid w:val="00DD0606"/>
    <w:rsid w:val="00E16AF8"/>
    <w:rsid w:val="00E6273F"/>
    <w:rsid w:val="00E6537C"/>
    <w:rsid w:val="00E95FF1"/>
    <w:rsid w:val="00EE2624"/>
    <w:rsid w:val="00EF634D"/>
    <w:rsid w:val="00F40AC7"/>
    <w:rsid w:val="00F65601"/>
    <w:rsid w:val="00F70459"/>
    <w:rsid w:val="00FA07EE"/>
    <w:rsid w:val="00FB34B8"/>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37902"/>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D03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641945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5295124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10075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31</cp:revision>
  <dcterms:created xsi:type="dcterms:W3CDTF">2016-01-25T19:58:00Z</dcterms:created>
  <dcterms:modified xsi:type="dcterms:W3CDTF">2018-11-15T19:06:00Z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2017-11-02T01:31:12.5735355Z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