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192D" w14:textId="77777777" w:rsidR="00764B3A" w:rsidRPr="00AE567F" w:rsidRDefault="005C25C8" w:rsidP="00AE567F">
      <w:pPr>
        <w:pStyle w:val="Title"/>
      </w:pPr>
      <w:r>
        <w:rPr>
          <w:rFonts w:hint="eastAsia"/>
        </w:rPr>
        <w:t>高级空间声音示例</w:t>
      </w:r>
    </w:p>
    <w:p w14:paraId="267EC1DE" w14:textId="77777777" w:rsidR="00C84872" w:rsidRPr="00281D12" w:rsidRDefault="00C84872" w:rsidP="00C84872">
      <w:pPr>
        <w:rPr>
          <w:i/>
        </w:rPr>
      </w:pPr>
      <w:r>
        <w:rPr>
          <w:rFonts w:hint="eastAsia"/>
          <w:i/>
        </w:rPr>
        <w:t>此示例与</w:t>
      </w:r>
      <w:r>
        <w:rPr>
          <w:rFonts w:hint="eastAsia"/>
          <w:i/>
        </w:rPr>
        <w:t xml:space="preserve"> 2017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月的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兼容。</w:t>
      </w:r>
    </w:p>
    <w:p w14:paraId="67E0386A" w14:textId="77777777" w:rsidR="00B15C6A" w:rsidRPr="00B15C6A" w:rsidRDefault="00B15C6A" w:rsidP="00B15C6A"/>
    <w:p w14:paraId="1FE12163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描述</w:t>
      </w:r>
    </w:p>
    <w:p w14:paraId="1ACA9581" w14:textId="77777777" w:rsidR="00194EF2" w:rsidRDefault="00194EF2" w:rsidP="00194EF2">
      <w:r>
        <w:rPr>
          <w:rFonts w:hint="eastAsia"/>
        </w:rPr>
        <w:t>此示例演示如何使用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播放采用</w:t>
      </w:r>
      <w:r>
        <w:rPr>
          <w:rFonts w:hint="eastAsia"/>
        </w:rPr>
        <w:t xml:space="preserve"> Windows Sonic </w:t>
      </w:r>
      <w:r>
        <w:rPr>
          <w:rFonts w:hint="eastAsia"/>
        </w:rPr>
        <w:t>技术的静态和动态空间音频。</w:t>
      </w:r>
      <w:r>
        <w:rPr>
          <w:rFonts w:hint="eastAsia"/>
        </w:rPr>
        <w:t xml:space="preserve">  </w:t>
      </w:r>
      <w:r>
        <w:rPr>
          <w:rFonts w:hint="eastAsia"/>
        </w:rPr>
        <w:t>静态底音在启动时播放，并且可以添加和删除遵循随机路线的动态声音</w:t>
      </w:r>
      <w:r>
        <w:rPr>
          <w:rFonts w:hint="eastAsia"/>
        </w:rPr>
        <w:t xml:space="preserve"> </w:t>
      </w:r>
    </w:p>
    <w:p w14:paraId="68D634BA" w14:textId="77777777" w:rsidR="009051B9" w:rsidRDefault="009051B9" w:rsidP="00281D12"/>
    <w:p w14:paraId="7CB1AC9E" w14:textId="77777777" w:rsidR="009051B9" w:rsidRDefault="00C61B76" w:rsidP="00281D12">
      <w:r>
        <w:rPr>
          <w:rFonts w:hint="eastAsia"/>
          <w:noProof/>
        </w:rPr>
        <w:drawing>
          <wp:inline distT="0" distB="0" distL="0" distR="0" wp14:anchorId="6722FB46" wp14:editId="440E93E8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7381C90" w14:textId="77777777" w:rsidR="00281D12" w:rsidRDefault="00281D12" w:rsidP="00281D12">
      <w:pPr>
        <w:pStyle w:val="Heading1"/>
      </w:pPr>
      <w:r>
        <w:rPr>
          <w:rFonts w:hint="eastAsia"/>
        </w:rPr>
        <w:t>使用样本</w:t>
      </w:r>
    </w:p>
    <w:tbl>
      <w:tblPr>
        <w:tblStyle w:val="XboxOne"/>
        <w:tblW w:w="2935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4D1C4237" w14:textId="77777777" w:rsidTr="0092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tcW w:w="3111" w:type="pct"/>
            <w:hideMark/>
          </w:tcPr>
          <w:p w14:paraId="4EACA132" w14:textId="77777777" w:rsidR="005C25C8" w:rsidRPr="00C42F0D" w:rsidRDefault="005C25C8" w:rsidP="009263BE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889" w:type="pct"/>
          </w:tcPr>
          <w:p w14:paraId="4FB0CFAF" w14:textId="1F020AD5" w:rsidR="005C25C8" w:rsidRPr="00160A8A" w:rsidRDefault="00E11B0A" w:rsidP="009263BE">
            <w:pPr>
              <w:pStyle w:val="Tableheading"/>
            </w:pPr>
            <w:r>
              <w:rPr>
                <w:rFonts w:hint="eastAsia"/>
              </w:rPr>
              <w:t>游戏手柄</w:t>
            </w:r>
          </w:p>
        </w:tc>
      </w:tr>
      <w:tr w:rsidR="00C61B76" w:rsidRPr="00C42F0D" w14:paraId="3769E051" w14:textId="77777777" w:rsidTr="009263BE">
        <w:trPr>
          <w:trHeight w:val="180"/>
          <w:jc w:val="center"/>
        </w:trPr>
        <w:tc>
          <w:tcPr>
            <w:tcW w:w="3111" w:type="pct"/>
            <w:shd w:val="clear" w:color="auto" w:fill="auto"/>
          </w:tcPr>
          <w:p w14:paraId="5025296C" w14:textId="77777777" w:rsidR="00C61B76" w:rsidRDefault="00C61B76" w:rsidP="009263BE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开始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停止播放</w:t>
            </w:r>
          </w:p>
        </w:tc>
        <w:tc>
          <w:tcPr>
            <w:tcW w:w="1889" w:type="pct"/>
            <w:shd w:val="clear" w:color="auto" w:fill="auto"/>
          </w:tcPr>
          <w:p w14:paraId="3CB2EE39" w14:textId="77777777" w:rsidR="00C61B76" w:rsidRDefault="00C61B76" w:rsidP="009263BE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键</w:t>
            </w:r>
          </w:p>
        </w:tc>
        <w:bookmarkStart w:id="0" w:name="_GoBack"/>
        <w:bookmarkEnd w:id="0"/>
      </w:tr>
      <w:tr w:rsidR="005C25C8" w:rsidRPr="00C42F0D" w14:paraId="4D540019" w14:textId="77777777" w:rsidTr="00926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  <w:jc w:val="center"/>
        </w:trPr>
        <w:tc>
          <w:tcPr>
            <w:tcW w:w="3111" w:type="pct"/>
            <w:shd w:val="clear" w:color="auto" w:fill="auto"/>
          </w:tcPr>
          <w:p w14:paraId="73CF5492" w14:textId="77777777" w:rsidR="005C25C8" w:rsidRPr="00E16AF8" w:rsidRDefault="005C25C8" w:rsidP="009263BE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添加动态声音</w:t>
            </w:r>
          </w:p>
        </w:tc>
        <w:tc>
          <w:tcPr>
            <w:tcW w:w="1889" w:type="pct"/>
            <w:shd w:val="clear" w:color="auto" w:fill="auto"/>
          </w:tcPr>
          <w:p w14:paraId="73EC5A60" w14:textId="792E7BC2" w:rsidR="005C25C8" w:rsidRDefault="0049294D" w:rsidP="009263BE">
            <w:pPr>
              <w:pStyle w:val="Tablebody"/>
            </w:pPr>
            <w:r>
              <w:rPr>
                <w:rFonts w:hint="eastAsia"/>
              </w:rPr>
              <w:t>方向键上</w:t>
            </w:r>
          </w:p>
        </w:tc>
      </w:tr>
      <w:tr w:rsidR="005C25C8" w14:paraId="2B93F61C" w14:textId="77777777" w:rsidTr="009263BE">
        <w:trPr>
          <w:trHeight w:val="362"/>
          <w:jc w:val="center"/>
        </w:trPr>
        <w:tc>
          <w:tcPr>
            <w:tcW w:w="3111" w:type="pct"/>
            <w:shd w:val="clear" w:color="auto" w:fill="auto"/>
          </w:tcPr>
          <w:p w14:paraId="2A94963A" w14:textId="77777777" w:rsidR="005C25C8" w:rsidRDefault="005C25C8" w:rsidP="009263BE">
            <w:pPr>
              <w:pStyle w:val="Tablebody"/>
            </w:pPr>
            <w:r>
              <w:rPr>
                <w:rFonts w:hint="eastAsia"/>
              </w:rPr>
              <w:t>删除动态声音</w:t>
            </w:r>
          </w:p>
        </w:tc>
        <w:tc>
          <w:tcPr>
            <w:tcW w:w="1889" w:type="pct"/>
            <w:shd w:val="clear" w:color="auto" w:fill="auto"/>
          </w:tcPr>
          <w:p w14:paraId="2153EC10" w14:textId="1E094C97" w:rsidR="005C25C8" w:rsidRDefault="0049294D" w:rsidP="009263BE">
            <w:pPr>
              <w:pStyle w:val="Tablebody"/>
            </w:pPr>
            <w:r>
              <w:rPr>
                <w:rFonts w:hint="eastAsia"/>
              </w:rPr>
              <w:t>方向键下</w:t>
            </w:r>
          </w:p>
        </w:tc>
      </w:tr>
      <w:tr w:rsidR="0049294D" w14:paraId="0E4CACE6" w14:textId="77777777" w:rsidTr="009263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3111" w:type="pct"/>
            <w:shd w:val="clear" w:color="auto" w:fill="auto"/>
          </w:tcPr>
          <w:p w14:paraId="6A3E5B69" w14:textId="3A5BC62F" w:rsidR="0049294D" w:rsidRDefault="0049294D" w:rsidP="009263BE">
            <w:pPr>
              <w:pStyle w:val="Tablebody"/>
            </w:pPr>
            <w:r>
              <w:rPr>
                <w:rFonts w:hint="eastAsia"/>
              </w:rPr>
              <w:t>退出</w:t>
            </w:r>
          </w:p>
        </w:tc>
        <w:tc>
          <w:tcPr>
            <w:tcW w:w="1889" w:type="pct"/>
            <w:shd w:val="clear" w:color="auto" w:fill="auto"/>
          </w:tcPr>
          <w:p w14:paraId="7545B564" w14:textId="4D70EE26" w:rsidR="0049294D" w:rsidRDefault="0049294D" w:rsidP="009263BE">
            <w:pPr>
              <w:pStyle w:val="Tablebody"/>
            </w:pPr>
            <w:r>
              <w:rPr>
                <w:rFonts w:hint="eastAsia"/>
              </w:rPr>
              <w:t>查看按键</w:t>
            </w:r>
          </w:p>
        </w:tc>
      </w:tr>
    </w:tbl>
    <w:p w14:paraId="665550E8" w14:textId="77777777" w:rsidR="003D3EF7" w:rsidRDefault="003D3EF7" w:rsidP="003D3EF7">
      <w:pPr>
        <w:pStyle w:val="Heading1"/>
      </w:pPr>
      <w:r>
        <w:rPr>
          <w:rFonts w:hint="eastAsia"/>
        </w:rPr>
        <w:t>实施说明</w:t>
      </w:r>
    </w:p>
    <w:p w14:paraId="720DD215" w14:textId="77777777" w:rsidR="00226E0E" w:rsidRDefault="00226E0E" w:rsidP="00226E0E">
      <w:bookmarkStart w:id="1" w:name="ID2EMD"/>
      <w:bookmarkEnd w:id="1"/>
      <w:r>
        <w:rPr>
          <w:rFonts w:hint="eastAsia"/>
        </w:rPr>
        <w:t>此示例演示如何使用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播放采用空间技术的静态和动态位置声音。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初始化并启动后，它会使用回调来请求缓冲帧。</w:t>
      </w:r>
    </w:p>
    <w:p w14:paraId="17416EDC" w14:textId="77777777" w:rsidR="003D3EF7" w:rsidRDefault="003D3EF7" w:rsidP="003D3EF7">
      <w:pPr>
        <w:pStyle w:val="Heading1"/>
      </w:pPr>
      <w:r>
        <w:rPr>
          <w:rFonts w:hint="eastAsia"/>
        </w:rPr>
        <w:t>更新历史记录</w:t>
      </w:r>
    </w:p>
    <w:p w14:paraId="4446B1E2" w14:textId="77777777" w:rsidR="00575766" w:rsidRPr="00331038" w:rsidRDefault="00C84872" w:rsidP="005B777F"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月初版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05A78" w14:textId="77777777" w:rsidR="00D0299C" w:rsidRDefault="00D0299C" w:rsidP="0074610F">
      <w:r>
        <w:separator/>
      </w:r>
    </w:p>
  </w:endnote>
  <w:endnote w:type="continuationSeparator" w:id="0">
    <w:p w14:paraId="27CB1750" w14:textId="77777777" w:rsidR="00D0299C" w:rsidRDefault="00D0299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B3AE" w14:textId="77777777"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9FCEAF9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25CDD9" w14:textId="56CB030C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16:57:36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0AD77C2" wp14:editId="79D828D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AdvancedSpatialSounds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A4CB" w14:textId="11C3DB5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E11B0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6CF1A2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BBFE16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75D3C" w14:textId="7EEA088E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263B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16:57:36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DC4C0F" wp14:editId="1D5E85D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08CA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B3793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07FF3" w14:textId="77777777" w:rsidR="00D0299C" w:rsidRDefault="00D0299C" w:rsidP="0074610F">
      <w:r>
        <w:separator/>
      </w:r>
    </w:p>
  </w:footnote>
  <w:footnote w:type="continuationSeparator" w:id="0">
    <w:p w14:paraId="084FF5AE" w14:textId="77777777" w:rsidR="00D0299C" w:rsidRDefault="00D0299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43DF5" w14:textId="77777777"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28F0" w14:textId="77777777"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B324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56570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98EA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754A8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E7573" w14:textId="77777777" w:rsidR="000B6D5E" w:rsidRPr="000B6D5E" w:rsidRDefault="000B6D5E" w:rsidP="000B6D5E"/>
              <w:p w14:paraId="36AC8802" w14:textId="77777777" w:rsidR="000B6D5E" w:rsidRDefault="000B6D5E" w:rsidP="000B6D5E"/>
              <w:p w14:paraId="13EA764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C8CC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65085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0C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E76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5B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A29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5C3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EEF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3F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46C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7336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FF23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651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2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1B0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C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B5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74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CD2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3B13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41B2590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74A29D82" wp14:editId="1D817E7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20F526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7D62C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542E7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C367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60FD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EECE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5424DE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28B57E0" w14:textId="77777777" w:rsidR="00CF3729" w:rsidRDefault="00CF3729">
    <w:pPr>
      <w:pStyle w:val="Header"/>
      <w:rPr>
        <w:sz w:val="2"/>
        <w:szCs w:val="2"/>
      </w:rPr>
    </w:pPr>
  </w:p>
  <w:p w14:paraId="66B71A5E" w14:textId="77777777" w:rsidR="000B6D5E" w:rsidRDefault="000B6D5E">
    <w:pPr>
      <w:pStyle w:val="Header"/>
      <w:rPr>
        <w:sz w:val="2"/>
        <w:szCs w:val="2"/>
      </w:rPr>
    </w:pPr>
  </w:p>
  <w:p w14:paraId="197B7ADE" w14:textId="77777777" w:rsidR="000B6D5E" w:rsidRDefault="000B6D5E">
    <w:pPr>
      <w:pStyle w:val="Header"/>
      <w:rPr>
        <w:sz w:val="2"/>
        <w:szCs w:val="2"/>
      </w:rPr>
    </w:pPr>
  </w:p>
  <w:p w14:paraId="31254DA6" w14:textId="77777777" w:rsidR="000B6D5E" w:rsidRDefault="000B6D5E">
    <w:pPr>
      <w:pStyle w:val="Header"/>
      <w:rPr>
        <w:sz w:val="2"/>
        <w:szCs w:val="2"/>
      </w:rPr>
    </w:pPr>
  </w:p>
  <w:p w14:paraId="7F209937" w14:textId="77777777" w:rsidR="000B6D5E" w:rsidRDefault="000B6D5E">
    <w:pPr>
      <w:pStyle w:val="Header"/>
      <w:rPr>
        <w:sz w:val="2"/>
        <w:szCs w:val="2"/>
      </w:rPr>
    </w:pPr>
  </w:p>
  <w:p w14:paraId="20A2D0DD" w14:textId="77777777" w:rsidR="000B6D5E" w:rsidRDefault="000B6D5E">
    <w:pPr>
      <w:pStyle w:val="Header"/>
      <w:rPr>
        <w:sz w:val="2"/>
        <w:szCs w:val="2"/>
      </w:rPr>
    </w:pPr>
  </w:p>
  <w:p w14:paraId="213367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97CCA"/>
    <w:rsid w:val="000B6D5E"/>
    <w:rsid w:val="001329C9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9294D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263BE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72BC8"/>
    <w:rsid w:val="00B829B4"/>
    <w:rsid w:val="00B9020B"/>
    <w:rsid w:val="00B96851"/>
    <w:rsid w:val="00BC1F23"/>
    <w:rsid w:val="00BF2987"/>
    <w:rsid w:val="00C07FE4"/>
    <w:rsid w:val="00C20BE0"/>
    <w:rsid w:val="00C20EB7"/>
    <w:rsid w:val="00C61B76"/>
    <w:rsid w:val="00C6752E"/>
    <w:rsid w:val="00C84872"/>
    <w:rsid w:val="00CB702D"/>
    <w:rsid w:val="00CF3729"/>
    <w:rsid w:val="00CF3CB2"/>
    <w:rsid w:val="00D0299C"/>
    <w:rsid w:val="00D86A95"/>
    <w:rsid w:val="00DC7DFC"/>
    <w:rsid w:val="00DD0606"/>
    <w:rsid w:val="00E01461"/>
    <w:rsid w:val="00E11B0A"/>
    <w:rsid w:val="00E11C0D"/>
    <w:rsid w:val="00E16AF8"/>
    <w:rsid w:val="00E33A7F"/>
    <w:rsid w:val="00E449AE"/>
    <w:rsid w:val="00E6273F"/>
    <w:rsid w:val="00E7518C"/>
    <w:rsid w:val="00EE2624"/>
    <w:rsid w:val="00F222D5"/>
    <w:rsid w:val="00F40AC7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22B12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3B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BE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Kristina Michalovova</cp:lastModifiedBy>
  <cp:revision>46</cp:revision>
  <dcterms:created xsi:type="dcterms:W3CDTF">2016-03-28T18:35:00Z</dcterms:created>
  <dcterms:modified xsi:type="dcterms:W3CDTF">2019-06-21T14:57:00Z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2018-01-05T23:37:17.1055833Z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