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4D53D" w14:textId="77777777"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14:anchorId="4E3484EE" wp14:editId="4FDC7215">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28A54899" w14:textId="0A73154A" w:rsidR="00764B3A" w:rsidRPr="00AE567F" w:rsidRDefault="003C5299" w:rsidP="00AE567F">
      <w:pPr>
        <w:pStyle w:val="Title"/>
        <w:rPr>
          <w:rFonts w:hint="eastAsia"/>
        </w:rPr>
      </w:pPr>
      <w:r>
        <w:rPr>
          <w:rFonts w:hint="eastAsia"/>
        </w:rPr>
        <w:t xml:space="preserve">FastBlockCompress 样本</w:t>
      </w:r>
    </w:p>
    <w:p w14:paraId="67DEDB57" w14:textId="08F3A401" w:rsidR="00281D12" w:rsidRPr="009F6B2F" w:rsidRDefault="00914EDA" w:rsidP="009F6B2F">
      <w:pPr>
        <w:rPr>
          <w:i/>
          <w:rFonts w:hint="eastAsia"/>
        </w:rPr>
      </w:pPr>
      <w:r>
        <w:rPr>
          <w:i/>
          <w:rFonts w:hint="eastAsia"/>
        </w:rPr>
        <w:t xml:space="preserve">此样本与 2017 年 3 月的 XDK 兼容。</w:t>
      </w:r>
    </w:p>
    <w:p w14:paraId="6B918D91" w14:textId="77777777" w:rsidR="009F6B2F" w:rsidRDefault="009F6B2F" w:rsidP="00AE567F">
      <w:pPr>
        <w:pStyle w:val="Heading1"/>
        <w:spacing w:before="0"/>
      </w:pPr>
    </w:p>
    <w:p w14:paraId="4855285A" w14:textId="77777777" w:rsidR="00286C9D" w:rsidRDefault="00281D12" w:rsidP="00286C9D">
      <w:pPr>
        <w:pStyle w:val="Heading1"/>
        <w:spacing w:before="0"/>
        <w:rPr>
          <w:rFonts w:hint="eastAsia"/>
        </w:rPr>
      </w:pPr>
      <w:r>
        <w:rPr>
          <w:rFonts w:hint="eastAsia"/>
        </w:rPr>
        <w:t xml:space="preserve">描述</w:t>
      </w:r>
    </w:p>
    <w:p w14:paraId="674CF13A" w14:textId="69D8ED08" w:rsidR="00FB5876" w:rsidRDefault="00286C9D" w:rsidP="00286C9D">
      <w:pPr>
        <w:pStyle w:val="Heading1"/>
        <w:spacing w:before="0"/>
        <w:rPr>
          <w:color w:val="auto"/>
          <w:sz w:val="20"/>
          <w:szCs w:val="22"/>
          <w:rFonts w:eastAsiaTheme="minorHAnsi" w:cs="Times New Roman" w:hint="eastAsia"/>
        </w:rPr>
      </w:pPr>
      <w:r>
        <w:rPr>
          <w:color w:val="auto"/>
          <w:sz w:val="20"/>
          <w:szCs w:val="22"/>
          <w:rFonts w:hint="eastAsia"/>
        </w:rPr>
        <w:t xml:space="preserve">此样本演示了如何使用 DirectCompute 在运行时执行基于经典</w:t>
      </w:r>
      <w:r>
        <w:rPr>
          <w:color w:val="auto"/>
          <w:sz w:val="20"/>
          <w:szCs w:val="22"/>
          <w:i/>
          <w:rFonts w:hint="eastAsia"/>
        </w:rPr>
        <w:t xml:space="preserve">快速区块压缩</w:t>
      </w:r>
      <w:r>
        <w:rPr>
          <w:color w:val="auto"/>
          <w:sz w:val="20"/>
          <w:szCs w:val="22"/>
          <w:rFonts w:hint="eastAsia"/>
        </w:rPr>
        <w:t xml:space="preserve">算法的 BC1、BC3 和 BC5 格式的快速纹理压缩。</w:t>
      </w:r>
      <w:r>
        <w:rPr>
          <w:color w:val="auto"/>
          <w:sz w:val="20"/>
          <w:szCs w:val="22"/>
          <w:rFonts w:hint="eastAsia"/>
        </w:rPr>
        <w:t xml:space="preserve">该样本还让您可以在运行和离线压缩模式之间切换，以比较视觉质量。</w:t>
      </w:r>
    </w:p>
    <w:p w14:paraId="122FAA79" w14:textId="77777777" w:rsidR="00286C9D" w:rsidRPr="00286C9D" w:rsidRDefault="00286C9D" w:rsidP="00286C9D"/>
    <w:p w14:paraId="2B1207D8" w14:textId="77777777" w:rsidR="00C573F2" w:rsidRDefault="00286C9D">
      <w:pPr>
        <w:spacing w:after="160" w:line="259" w:lineRule="auto"/>
        <w:rPr>
          <w:rFonts w:hint="eastAsia"/>
        </w:rPr>
      </w:pPr>
      <w:r>
        <w:rPr>
          <w:rFonts w:hint="eastAsia"/>
        </w:rPr>
        <w:drawing>
          <wp:inline distT="0" distB="0" distL="0" distR="0" wp14:anchorId="4D520510" wp14:editId="02BBC8D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2958D4B" w14:textId="5BD8E690" w:rsidR="00330D3F" w:rsidRDefault="00330D3F">
      <w:pPr>
        <w:spacing w:after="160" w:line="259" w:lineRule="auto"/>
        <w:rPr>
          <w:color w:val="006600"/>
          <w:sz w:val="28"/>
          <w:szCs w:val="32"/>
          <w:rFonts w:eastAsiaTheme="majorEastAsia" w:cstheme="majorBidi" w:hint="eastAsia"/>
        </w:rPr>
      </w:pPr>
      <w:r>
        <w:rPr>
          <w:rFonts w:hint="eastAsia"/>
        </w:rPr>
        <w:br w:type="page"/>
      </w:r>
    </w:p>
    <w:p w14:paraId="2E5A44EC" w14:textId="77777777" w:rsidR="00281D12" w:rsidRDefault="00281D12" w:rsidP="00281D12">
      <w:pPr>
        <w:pStyle w:val="Heading1"/>
        <w:rPr>
          <w:rFonts w:hint="eastAsia"/>
        </w:rPr>
      </w:pPr>
      <w:r>
        <w:rPr>
          <w:rFonts w:hint="eastAsia"/>
        </w:rPr>
        <w:t xml:space="preserve">使用样本</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89"/>
        <w:gridCol w:w="5361"/>
      </w:tblGrid>
      <w:tr w:rsidR="00323BC6" w:rsidRPr="00C42F0D" w14:paraId="67E81E46" w14:textId="77777777" w:rsidTr="00C573F2">
        <w:trPr>
          <w:cnfStyle w:val="100000000000" w:firstRow="1" w:lastRow="0" w:firstColumn="0" w:lastColumn="0" w:oddVBand="0" w:evenVBand="0" w:oddHBand="0" w:evenHBand="0" w:firstRowFirstColumn="0" w:firstRowLastColumn="0" w:lastRowFirstColumn="0" w:lastRowLastColumn="0"/>
          <w:trHeight w:val="364"/>
        </w:trPr>
        <w:tc>
          <w:tcPr>
            <w:tcW w:w="2133" w:type="pct"/>
            <w:hideMark/>
          </w:tcPr>
          <w:p w14:paraId="47847EF6" w14:textId="77777777" w:rsidR="00323BC6" w:rsidRPr="00C42F0D" w:rsidRDefault="00323BC6" w:rsidP="005E6344">
            <w:pPr>
              <w:pStyle w:val="Tableheading"/>
              <w:rPr>
                <w:bCs w:val="0"/>
                <w:rFonts w:hint="eastAsia"/>
              </w:rPr>
            </w:pPr>
            <w:r>
              <w:rPr>
                <w:rFonts w:hint="eastAsia"/>
              </w:rPr>
              <w:t xml:space="preserve">操作</w:t>
            </w:r>
          </w:p>
        </w:tc>
        <w:tc>
          <w:tcPr>
            <w:tcW w:w="2867" w:type="pct"/>
            <w:hideMark/>
          </w:tcPr>
          <w:p w14:paraId="41076FA5" w14:textId="77777777" w:rsidR="00323BC6" w:rsidRPr="00C42F0D" w:rsidRDefault="00323BC6" w:rsidP="005E6344">
            <w:pPr>
              <w:pStyle w:val="Tableheading"/>
              <w:rPr>
                <w:bCs w:val="0"/>
                <w:rFonts w:hint="eastAsia"/>
              </w:rPr>
            </w:pPr>
            <w:r>
              <w:rPr>
                <w:rFonts w:hint="eastAsia"/>
              </w:rPr>
              <w:t xml:space="preserve">游戏手柄</w:t>
            </w:r>
          </w:p>
        </w:tc>
      </w:tr>
      <w:tr w:rsidR="00323BC6" w:rsidRPr="00C42F0D" w14:paraId="5E267677" w14:textId="77777777" w:rsidTr="00C573F2">
        <w:trPr>
          <w:trHeight w:val="469"/>
        </w:trPr>
        <w:tc>
          <w:tcPr>
            <w:tcW w:w="2133" w:type="pct"/>
          </w:tcPr>
          <w:p w14:paraId="4EDE60EF" w14:textId="5977B8CD" w:rsidR="00323BC6" w:rsidRPr="00C42F0D" w:rsidRDefault="00323BC6" w:rsidP="00323BC6">
            <w:pPr>
              <w:pStyle w:val="Tablebody"/>
              <w:rPr>
                <w:rFonts w:hint="eastAsia"/>
              </w:rPr>
            </w:pPr>
            <w:r>
              <w:rPr>
                <w:rFonts w:hint="eastAsia"/>
              </w:rPr>
              <w:t xml:space="preserve">上一张或下一张图片</w:t>
            </w:r>
          </w:p>
        </w:tc>
        <w:tc>
          <w:tcPr>
            <w:tcW w:w="2867" w:type="pct"/>
          </w:tcPr>
          <w:p w14:paraId="4439942E" w14:textId="60F977CC" w:rsidR="00323BC6" w:rsidRPr="00C42F0D" w:rsidRDefault="00323BC6" w:rsidP="00323BC6">
            <w:pPr>
              <w:pStyle w:val="Tablebody"/>
              <w:rPr>
                <w:rFonts w:hint="eastAsia"/>
              </w:rPr>
            </w:pPr>
            <w:r>
              <w:rPr>
                <w:rFonts w:hint="eastAsia"/>
              </w:rPr>
              <w:t xml:space="preserve">左或右缓冲键</w:t>
            </w:r>
          </w:p>
        </w:tc>
      </w:tr>
      <w:tr w:rsidR="00323BC6" w14:paraId="27B90677" w14:textId="77777777" w:rsidTr="00C573F2">
        <w:trPr>
          <w:cnfStyle w:val="000000010000" w:firstRow="0" w:lastRow="0" w:firstColumn="0" w:lastColumn="0" w:oddVBand="0" w:evenVBand="0" w:oddHBand="0" w:evenHBand="1" w:firstRowFirstColumn="0" w:firstRowLastColumn="0" w:lastRowFirstColumn="0" w:lastRowLastColumn="0"/>
          <w:trHeight w:val="234"/>
        </w:trPr>
        <w:tc>
          <w:tcPr>
            <w:tcW w:w="2133" w:type="pct"/>
          </w:tcPr>
          <w:p w14:paraId="049B8AAD" w14:textId="269A319D" w:rsidR="00323BC6" w:rsidRDefault="00323BC6" w:rsidP="00323BC6">
            <w:pPr>
              <w:pStyle w:val="Tablebody"/>
              <w:rPr>
                <w:rFonts w:hint="eastAsia"/>
              </w:rPr>
            </w:pPr>
            <w:r>
              <w:rPr>
                <w:rFonts w:hint="eastAsia"/>
              </w:rPr>
              <w:t xml:space="preserve">上一个或下一个压缩方法</w:t>
            </w:r>
          </w:p>
        </w:tc>
        <w:tc>
          <w:tcPr>
            <w:tcW w:w="2867" w:type="pct"/>
          </w:tcPr>
          <w:p w14:paraId="5E23C159" w14:textId="046E2BC8" w:rsidR="00323BC6" w:rsidRDefault="00323BC6" w:rsidP="00323BC6">
            <w:pPr>
              <w:pStyle w:val="Tablebody"/>
              <w:rPr>
                <w:rFonts w:hint="eastAsia"/>
              </w:rPr>
            </w:pPr>
            <w:r>
              <w:rPr>
                <w:rFonts w:hint="eastAsia"/>
              </w:rPr>
              <w:t xml:space="preserve">D-pad 左或右</w:t>
            </w:r>
          </w:p>
        </w:tc>
      </w:tr>
      <w:tr w:rsidR="00323BC6" w14:paraId="4445BEBB" w14:textId="77777777" w:rsidTr="00C573F2">
        <w:trPr>
          <w:trHeight w:val="362"/>
        </w:trPr>
        <w:tc>
          <w:tcPr>
            <w:tcW w:w="2133" w:type="pct"/>
          </w:tcPr>
          <w:p w14:paraId="0039CC97" w14:textId="11923FAC" w:rsidR="00323BC6" w:rsidRDefault="00323BC6" w:rsidP="00323BC6">
            <w:pPr>
              <w:pStyle w:val="Tablebody"/>
              <w:rPr>
                <w:rFonts w:hint="eastAsia"/>
              </w:rPr>
            </w:pPr>
            <w:r>
              <w:rPr>
                <w:rFonts w:hint="eastAsia"/>
              </w:rPr>
              <w:t xml:space="preserve">上一个或下一个 mip 级别</w:t>
            </w:r>
          </w:p>
        </w:tc>
        <w:tc>
          <w:tcPr>
            <w:tcW w:w="2867" w:type="pct"/>
          </w:tcPr>
          <w:p w14:paraId="446A69AA" w14:textId="32A15CD0" w:rsidR="00323BC6" w:rsidRDefault="00323BC6" w:rsidP="00323BC6">
            <w:pPr>
              <w:pStyle w:val="Tablebody"/>
              <w:rPr>
                <w:rFonts w:hint="eastAsia"/>
              </w:rPr>
            </w:pPr>
            <w:r>
              <w:rPr>
                <w:rFonts w:hint="eastAsia"/>
              </w:rPr>
              <w:t xml:space="preserve">D-pad 下或上</w:t>
            </w:r>
          </w:p>
        </w:tc>
      </w:tr>
      <w:tr w:rsidR="00323BC6" w14:paraId="1C10C9A6" w14:textId="77777777" w:rsidTr="00C573F2">
        <w:trPr>
          <w:cnfStyle w:val="000000010000" w:firstRow="0" w:lastRow="0" w:firstColumn="0" w:lastColumn="0" w:oddVBand="0" w:evenVBand="0" w:oddHBand="0" w:evenHBand="1" w:firstRowFirstColumn="0" w:firstRowLastColumn="0" w:lastRowFirstColumn="0" w:lastRowLastColumn="0"/>
          <w:trHeight w:val="234"/>
        </w:trPr>
        <w:tc>
          <w:tcPr>
            <w:tcW w:w="2133" w:type="pct"/>
          </w:tcPr>
          <w:p w14:paraId="42B2DA62" w14:textId="7A42D5E3" w:rsidR="00323BC6" w:rsidRDefault="00323BC6" w:rsidP="00323BC6">
            <w:pPr>
              <w:pStyle w:val="Tablebody"/>
              <w:rPr>
                <w:rFonts w:hint="eastAsia"/>
              </w:rPr>
            </w:pPr>
            <w:r>
              <w:rPr>
                <w:rFonts w:hint="eastAsia"/>
              </w:rPr>
              <w:t xml:space="preserve">移动相机</w:t>
            </w:r>
          </w:p>
        </w:tc>
        <w:tc>
          <w:tcPr>
            <w:tcW w:w="2867" w:type="pct"/>
          </w:tcPr>
          <w:p w14:paraId="6270C242" w14:textId="71144FB6" w:rsidR="00323BC6" w:rsidRDefault="00323BC6" w:rsidP="00323BC6">
            <w:pPr>
              <w:pStyle w:val="Tablebody"/>
              <w:rPr>
                <w:rFonts w:hint="eastAsia"/>
              </w:rPr>
            </w:pPr>
            <w:r>
              <w:rPr>
                <w:rFonts w:hint="eastAsia"/>
              </w:rPr>
              <w:t xml:space="preserve">右杆</w:t>
            </w:r>
          </w:p>
        </w:tc>
      </w:tr>
      <w:tr w:rsidR="00323BC6" w14:paraId="0F36746A" w14:textId="77777777" w:rsidTr="00C573F2">
        <w:trPr>
          <w:trHeight w:val="362"/>
        </w:trPr>
        <w:tc>
          <w:tcPr>
            <w:tcW w:w="2133" w:type="pct"/>
          </w:tcPr>
          <w:p w14:paraId="4B14AF42" w14:textId="3342E8D6" w:rsidR="00323BC6" w:rsidRDefault="00323BC6" w:rsidP="00323BC6">
            <w:pPr>
              <w:pStyle w:val="Tablebody"/>
              <w:rPr>
                <w:rFonts w:hint="eastAsia"/>
              </w:rPr>
            </w:pPr>
            <w:r>
              <w:rPr>
                <w:rFonts w:hint="eastAsia"/>
              </w:rPr>
              <w:t xml:space="preserve">放大或缩小</w:t>
            </w:r>
          </w:p>
        </w:tc>
        <w:tc>
          <w:tcPr>
            <w:tcW w:w="2867" w:type="pct"/>
          </w:tcPr>
          <w:p w14:paraId="73945B87" w14:textId="28EB2CFD" w:rsidR="00323BC6" w:rsidRDefault="00323BC6" w:rsidP="00323BC6">
            <w:pPr>
              <w:pStyle w:val="Tablebody"/>
              <w:rPr>
                <w:rFonts w:hint="eastAsia"/>
              </w:rPr>
            </w:pPr>
            <w:r>
              <w:rPr>
                <w:rFonts w:hint="eastAsia"/>
              </w:rPr>
              <w:t xml:space="preserve">左或右扳机键</w:t>
            </w:r>
          </w:p>
        </w:tc>
      </w:tr>
      <w:tr w:rsidR="00323BC6" w14:paraId="1BB2A8C6" w14:textId="77777777" w:rsidTr="00C573F2">
        <w:trPr>
          <w:cnfStyle w:val="000000010000" w:firstRow="0" w:lastRow="0" w:firstColumn="0" w:lastColumn="0" w:oddVBand="0" w:evenVBand="0" w:oddHBand="0" w:evenHBand="1" w:firstRowFirstColumn="0" w:firstRowLastColumn="0" w:lastRowFirstColumn="0" w:lastRowLastColumn="0"/>
          <w:trHeight w:val="469"/>
        </w:trPr>
        <w:tc>
          <w:tcPr>
            <w:tcW w:w="2133" w:type="pct"/>
          </w:tcPr>
          <w:p w14:paraId="2A563E1B" w14:textId="47FCA040" w:rsidR="00323BC6" w:rsidRDefault="00323BC6" w:rsidP="00323BC6">
            <w:pPr>
              <w:pStyle w:val="Tablebody"/>
              <w:rPr>
                <w:rFonts w:hint="eastAsia"/>
              </w:rPr>
            </w:pPr>
            <w:r>
              <w:rPr>
                <w:rFonts w:hint="eastAsia"/>
              </w:rPr>
              <w:t xml:space="preserve">全屏与并列显示</w:t>
            </w:r>
          </w:p>
        </w:tc>
        <w:tc>
          <w:tcPr>
            <w:tcW w:w="2867" w:type="pct"/>
          </w:tcPr>
          <w:p w14:paraId="49995DDC" w14:textId="41F07793" w:rsidR="00323BC6" w:rsidRDefault="00323BC6" w:rsidP="00323BC6">
            <w:pPr>
              <w:pStyle w:val="Tablebody"/>
              <w:rPr>
                <w:rFonts w:hint="eastAsia"/>
              </w:rPr>
            </w:pPr>
            <w:r>
              <w:rPr>
                <w:rFonts w:hint="eastAsia"/>
              </w:rPr>
              <w:t xml:space="preserve">X</w:t>
            </w:r>
          </w:p>
        </w:tc>
      </w:tr>
      <w:tr w:rsidR="00323BC6" w14:paraId="41994F09" w14:textId="77777777" w:rsidTr="00C573F2">
        <w:trPr>
          <w:trHeight w:val="469"/>
        </w:trPr>
        <w:tc>
          <w:tcPr>
            <w:tcW w:w="2133" w:type="pct"/>
          </w:tcPr>
          <w:p w14:paraId="050A2F54" w14:textId="412819EB" w:rsidR="00323BC6" w:rsidRDefault="00323BC6" w:rsidP="00323BC6">
            <w:pPr>
              <w:pStyle w:val="Tablebody"/>
              <w:rPr>
                <w:rFonts w:hint="eastAsia"/>
              </w:rPr>
            </w:pPr>
            <w:r>
              <w:rPr>
                <w:rFonts w:hint="eastAsia"/>
              </w:rPr>
              <w:t xml:space="preserve">突显区块</w:t>
            </w:r>
          </w:p>
        </w:tc>
        <w:tc>
          <w:tcPr>
            <w:tcW w:w="2867" w:type="pct"/>
          </w:tcPr>
          <w:p w14:paraId="72C66EE5" w14:textId="3A772C34" w:rsidR="00323BC6" w:rsidRDefault="00323BC6" w:rsidP="00323BC6">
            <w:pPr>
              <w:pStyle w:val="Tablebody"/>
              <w:rPr>
                <w:rFonts w:hint="eastAsia"/>
              </w:rPr>
            </w:pPr>
            <w:r>
              <w:rPr>
                <w:rFonts w:hint="eastAsia"/>
              </w:rPr>
              <w:t xml:space="preserve">A</w:t>
            </w:r>
          </w:p>
        </w:tc>
      </w:tr>
      <w:tr w:rsidR="00323BC6" w14:paraId="33B6B956" w14:textId="77777777" w:rsidTr="00C573F2">
        <w:trPr>
          <w:cnfStyle w:val="000000010000" w:firstRow="0" w:lastRow="0" w:firstColumn="0" w:lastColumn="0" w:oddVBand="0" w:evenVBand="0" w:oddHBand="0" w:evenHBand="1" w:firstRowFirstColumn="0" w:firstRowLastColumn="0" w:lastRowFirstColumn="0" w:lastRowLastColumn="0"/>
          <w:trHeight w:val="469"/>
        </w:trPr>
        <w:tc>
          <w:tcPr>
            <w:tcW w:w="2133" w:type="pct"/>
          </w:tcPr>
          <w:p w14:paraId="30DFE726" w14:textId="70D63C0C" w:rsidR="00323BC6" w:rsidRDefault="00323BC6" w:rsidP="00323BC6">
            <w:pPr>
              <w:pStyle w:val="Tablebody"/>
              <w:rPr>
                <w:rFonts w:hint="eastAsia"/>
              </w:rPr>
            </w:pPr>
            <w:r>
              <w:rPr>
                <w:rFonts w:hint="eastAsia"/>
              </w:rPr>
              <w:t xml:space="preserve">循环差异模式</w:t>
            </w:r>
          </w:p>
        </w:tc>
        <w:tc>
          <w:tcPr>
            <w:tcW w:w="2867" w:type="pct"/>
          </w:tcPr>
          <w:p w14:paraId="18B35AFF" w14:textId="3AE28287" w:rsidR="00323BC6" w:rsidRDefault="00323BC6" w:rsidP="00323BC6">
            <w:pPr>
              <w:pStyle w:val="Tablebody"/>
              <w:rPr>
                <w:rFonts w:hint="eastAsia"/>
              </w:rPr>
            </w:pPr>
            <w:r>
              <w:rPr>
                <w:rFonts w:hint="eastAsia"/>
              </w:rPr>
              <w:t xml:space="preserve">Y</w:t>
            </w:r>
          </w:p>
        </w:tc>
      </w:tr>
      <w:tr w:rsidR="00323BC6" w14:paraId="68BA4721" w14:textId="77777777" w:rsidTr="00C573F2">
        <w:trPr>
          <w:trHeight w:val="469"/>
        </w:trPr>
        <w:tc>
          <w:tcPr>
            <w:tcW w:w="2133" w:type="pct"/>
          </w:tcPr>
          <w:p w14:paraId="298CFFB7" w14:textId="16840313" w:rsidR="00323BC6" w:rsidRDefault="00323BC6" w:rsidP="00323BC6">
            <w:pPr>
              <w:pStyle w:val="Tablebody"/>
              <w:rPr>
                <w:rFonts w:hint="eastAsia"/>
              </w:rPr>
            </w:pPr>
            <w:r>
              <w:rPr>
                <w:rFonts w:hint="eastAsia"/>
              </w:rPr>
              <w:t xml:space="preserve">退出</w:t>
            </w:r>
          </w:p>
        </w:tc>
        <w:tc>
          <w:tcPr>
            <w:tcW w:w="2867" w:type="pct"/>
          </w:tcPr>
          <w:p w14:paraId="213AD2EB" w14:textId="6176A71F" w:rsidR="00323BC6" w:rsidRPr="0045353E" w:rsidRDefault="00323BC6" w:rsidP="00323BC6">
            <w:pPr>
              <w:pStyle w:val="Tablebody"/>
              <w:rPr>
                <w:rFonts w:hint="eastAsia"/>
              </w:rPr>
            </w:pPr>
            <w:r>
              <w:rPr>
                <w:rFonts w:hint="eastAsia"/>
              </w:rPr>
              <w:t xml:space="preserve">查看按键</w:t>
            </w:r>
          </w:p>
        </w:tc>
      </w:tr>
    </w:tbl>
    <w:p w14:paraId="6BAD2057" w14:textId="77777777" w:rsidR="00E16AF8" w:rsidRDefault="00E16AF8" w:rsidP="00331038"/>
    <w:p w14:paraId="2B1199E6" w14:textId="5FDEA5B6" w:rsidR="00286C9D" w:rsidRDefault="00286C9D" w:rsidP="00C573F2">
      <w:pPr>
        <w:pStyle w:val="Heading1"/>
        <w:rPr>
          <w:rFonts w:hint="eastAsia"/>
        </w:rPr>
      </w:pPr>
      <w:r>
        <w:rPr>
          <w:rFonts w:hint="eastAsia"/>
        </w:rPr>
        <w:t xml:space="preserve">背景</w:t>
      </w:r>
    </w:p>
    <w:p w14:paraId="04F6ECE1" w14:textId="09B194D3" w:rsidR="00286C9D" w:rsidRDefault="00286C9D" w:rsidP="00286C9D">
      <w:pPr>
        <w:rPr>
          <w:rFonts w:hint="eastAsia"/>
        </w:rPr>
      </w:pPr>
      <w:r>
        <w:rPr>
          <w:rFonts w:hint="eastAsia"/>
        </w:rPr>
        <w:t xml:space="preserve">Xbox One 拥有 5 GB 统一内存，可使用专属应用程序，这比 Xbox 360 上的 512 MB 明显增长了 10 倍。</w:t>
      </w:r>
      <w:r>
        <w:rPr>
          <w:rFonts w:hint="eastAsia"/>
        </w:rPr>
        <w:t xml:space="preserve">很遗憾，IO 带宽和存储介质容量并未完全保持同步。</w:t>
      </w:r>
      <w:r>
        <w:rPr>
          <w:rFonts w:hint="eastAsia"/>
        </w:rPr>
        <w:t xml:space="preserve">蓝光媒体将容纳 49 Gb，比 Xbox 360 游戏光盘版本 3 的 7.8 GB 仅增加 6.3 倍。</w:t>
      </w:r>
      <w:r>
        <w:rPr>
          <w:rFonts w:hint="eastAsia"/>
        </w:rPr>
        <w:t xml:space="preserve"> </w:t>
      </w:r>
    </w:p>
    <w:p w14:paraId="758BCCE7" w14:textId="77777777" w:rsidR="00286C9D" w:rsidRDefault="00286C9D" w:rsidP="00286C9D"/>
    <w:p w14:paraId="0FEA1768" w14:textId="0F409EB3" w:rsidR="00286C9D" w:rsidRDefault="00286C9D" w:rsidP="00286C9D">
      <w:pPr>
        <w:rPr>
          <w:rFonts w:hint="eastAsia"/>
        </w:rPr>
      </w:pPr>
      <w:r>
        <w:rPr>
          <w:rFonts w:hint="eastAsia"/>
        </w:rPr>
        <w:t xml:space="preserve">这一事实结合流媒体安装的引入，意味着有效的压缩方法对于最小化加载时间以及将游戏资产打包至可用存储空间仍然很重要。</w:t>
      </w:r>
    </w:p>
    <w:p w14:paraId="3D14F858" w14:textId="77777777" w:rsidR="00286C9D" w:rsidRDefault="00286C9D" w:rsidP="00286C9D"/>
    <w:p w14:paraId="2290B5F1" w14:textId="109AE82E" w:rsidR="00286C9D" w:rsidRDefault="00286C9D" w:rsidP="00286C9D">
      <w:pPr>
        <w:rPr>
          <w:rFonts w:hint="eastAsia"/>
        </w:rPr>
      </w:pPr>
      <w:r>
        <w:rPr>
          <w:rFonts w:hint="eastAsia"/>
        </w:rPr>
        <w:t xml:space="preserve">通过使用离线图像压缩格式编码游戏纹理，标题通常可以节省大量存储空间。</w:t>
      </w:r>
      <w:r>
        <w:rPr>
          <w:rFonts w:hint="eastAsia"/>
        </w:rPr>
        <w:t xml:space="preserve">Xbox One 内置硬件 JPEG 解码器，使得 JPEG 成为有吸引力的选择。</w:t>
      </w:r>
      <w:r>
        <w:rPr>
          <w:rFonts w:hint="eastAsia"/>
        </w:rPr>
        <w:t xml:space="preserve">但是，JPEG 硬件会将纹理解码为内存中未压缩的 YUV 格式，这对于渲染而言并非最佳格式。</w:t>
      </w:r>
      <w:r>
        <w:rPr>
          <w:rFonts w:hint="eastAsia"/>
        </w:rPr>
        <w:t xml:space="preserve">如果使用此方法，那么标题需要在运行时将纹理重新压缩为 GPU 支持的区块压缩格式之一。</w:t>
      </w:r>
    </w:p>
    <w:p w14:paraId="4691D5E2" w14:textId="77777777" w:rsidR="00286C9D" w:rsidRDefault="00286C9D" w:rsidP="00286C9D"/>
    <w:p w14:paraId="24A0AB21" w14:textId="635BFE95" w:rsidR="00286C9D" w:rsidRDefault="00286C9D" w:rsidP="00286C9D">
      <w:pPr>
        <w:rPr>
          <w:rFonts w:hint="eastAsia"/>
        </w:rPr>
      </w:pPr>
      <w:r>
        <w:rPr>
          <w:rFonts w:hint="eastAsia"/>
        </w:rPr>
        <w:t xml:space="preserve">此样本使用 GPU 有效地将纹理压缩为 BC1、BC3 和 BC5 格式。</w:t>
      </w:r>
      <w:r>
        <w:rPr>
          <w:rFonts w:hint="eastAsia"/>
        </w:rPr>
        <w:t xml:space="preserve">历史上用于离线区块压缩的标准算法太慢以致于不能实时运行，而样本使用的算法为了速度形成显着的质量妥协。</w:t>
      </w:r>
      <w:r>
        <w:rPr>
          <w:rFonts w:hint="eastAsia"/>
        </w:rPr>
        <w:t xml:space="preserve"> </w:t>
      </w:r>
    </w:p>
    <w:p w14:paraId="69763750" w14:textId="77777777" w:rsidR="00286C9D" w:rsidRDefault="00286C9D" w:rsidP="00286C9D"/>
    <w:p w14:paraId="1DEFF541" w14:textId="5B4285CD" w:rsidR="00286C9D" w:rsidRPr="00286C9D" w:rsidRDefault="00286C9D" w:rsidP="00286C9D">
      <w:pPr>
        <w:rPr>
          <w:rFonts w:hint="eastAsia"/>
        </w:rPr>
      </w:pPr>
      <w:r>
        <w:rPr>
          <w:rFonts w:hint="eastAsia"/>
        </w:rPr>
        <w:t xml:space="preserve">由于内存带宽会阻碍当前算法，使用其他技术，可以实现显着的质量改进，而性能损失很小。</w:t>
      </w:r>
      <w:r>
        <w:rPr>
          <w:rFonts w:hint="eastAsia"/>
        </w:rPr>
        <w:t xml:space="preserve"> </w:t>
      </w:r>
    </w:p>
    <w:p w14:paraId="0AA44213" w14:textId="77777777" w:rsidR="00286C9D" w:rsidRDefault="003D3EF7" w:rsidP="00286C9D">
      <w:pPr>
        <w:pStyle w:val="Heading1"/>
        <w:rPr>
          <w:rFonts w:hint="eastAsia"/>
        </w:rPr>
      </w:pPr>
      <w:r>
        <w:rPr>
          <w:rFonts w:hint="eastAsia"/>
        </w:rPr>
        <w:t xml:space="preserve">实施说明</w:t>
      </w:r>
    </w:p>
    <w:p w14:paraId="537B89F7" w14:textId="44D8A3BF" w:rsidR="00286C9D" w:rsidRPr="00286C9D" w:rsidRDefault="00286C9D" w:rsidP="00286C9D">
      <w:pPr>
        <w:pStyle w:val="Heading1"/>
        <w:rPr>
          <w:rFonts w:hint="eastAsia"/>
        </w:rPr>
      </w:pPr>
      <w:r>
        <w:rPr>
          <w:color w:val="auto"/>
          <w:sz w:val="20"/>
          <w:szCs w:val="22"/>
          <w:rFonts w:hint="eastAsia"/>
        </w:rPr>
        <w:t xml:space="preserve">样本中的每个 DirectCompute 压缩着色器都有三种变体：一个单 mip 版本、一个双 mip 版本以及一个三 mip 版本：</w:t>
      </w:r>
    </w:p>
    <w:p w14:paraId="4568A2DF" w14:textId="53C644C1" w:rsidR="00286C9D" w:rsidRPr="00286C9D" w:rsidRDefault="00286C9D" w:rsidP="00286C9D">
      <w:pPr>
        <w:pStyle w:val="Heading1"/>
        <w:numPr>
          <w:ilvl w:val="0"/>
          <w:numId w:val="17"/>
        </w:numPr>
        <w:rPr>
          <w:color w:val="auto"/>
          <w:sz w:val="20"/>
          <w:szCs w:val="22"/>
          <w:rFonts w:eastAsiaTheme="minorHAnsi" w:cs="Times New Roman" w:hint="eastAsia"/>
        </w:rPr>
      </w:pPr>
      <w:r>
        <w:rPr>
          <w:color w:val="auto"/>
          <w:sz w:val="20"/>
          <w:szCs w:val="22"/>
          <w:rFonts w:hint="eastAsia"/>
        </w:rPr>
        <w:t xml:space="preserve">单 mip 着色器压缩源纹理的单一 mip。</w:t>
      </w:r>
      <w:r>
        <w:rPr>
          <w:color w:val="auto"/>
          <w:sz w:val="20"/>
          <w:szCs w:val="22"/>
          <w:rFonts w:hint="eastAsia"/>
        </w:rPr>
        <w:t xml:space="preserve"> </w:t>
      </w:r>
    </w:p>
    <w:p w14:paraId="5A3D0C31" w14:textId="6ADC2F11" w:rsidR="00286C9D" w:rsidRPr="00286C9D" w:rsidRDefault="00286C9D" w:rsidP="00286C9D">
      <w:pPr>
        <w:pStyle w:val="Heading1"/>
        <w:numPr>
          <w:ilvl w:val="0"/>
          <w:numId w:val="17"/>
        </w:numPr>
        <w:rPr>
          <w:color w:val="auto"/>
          <w:sz w:val="20"/>
          <w:szCs w:val="22"/>
          <w:rFonts w:eastAsiaTheme="minorHAnsi" w:cs="Times New Roman" w:hint="eastAsia"/>
        </w:rPr>
      </w:pPr>
      <w:r>
        <w:rPr>
          <w:color w:val="auto"/>
          <w:sz w:val="20"/>
          <w:szCs w:val="22"/>
          <w:rFonts w:hint="eastAsia"/>
        </w:rPr>
        <w:t xml:space="preserve">双 mip 着色器读取源纹理的单一 mip，然后将 mip 向下采样至本地数据存储 (LDS) 内存。</w:t>
      </w:r>
      <w:r>
        <w:rPr>
          <w:color w:val="auto"/>
          <w:sz w:val="20"/>
          <w:szCs w:val="22"/>
          <w:rFonts w:hint="eastAsia"/>
        </w:rPr>
        <w:t xml:space="preserve">接下来，着色器压缩原始和向下采样版本，然后着色器在输出纹理中写入相应的 mip 级别。</w:t>
      </w:r>
      <w:r>
        <w:rPr>
          <w:color w:val="auto"/>
          <w:sz w:val="20"/>
          <w:szCs w:val="22"/>
          <w:rFonts w:hint="eastAsia"/>
        </w:rPr>
        <w:t xml:space="preserve"> </w:t>
      </w:r>
    </w:p>
    <w:p w14:paraId="53C1B943" w14:textId="77777777" w:rsidR="00286C9D" w:rsidRPr="00286C9D" w:rsidRDefault="00286C9D" w:rsidP="00286C9D">
      <w:pPr>
        <w:pStyle w:val="Heading1"/>
        <w:ind w:left="1440"/>
        <w:rPr>
          <w:color w:val="auto"/>
          <w:sz w:val="20"/>
          <w:szCs w:val="22"/>
          <w:rFonts w:eastAsiaTheme="minorHAnsi" w:cs="Times New Roman" w:hint="eastAsia"/>
        </w:rPr>
      </w:pPr>
      <w:r>
        <w:rPr>
          <w:color w:val="auto"/>
          <w:sz w:val="20"/>
          <w:szCs w:val="22"/>
          <w:rFonts w:hint="eastAsia"/>
        </w:rPr>
        <w:t xml:space="preserve">此过程通过避免从第二个 mip 级别的源纹理进行读取来节省内存带宽。</w:t>
      </w:r>
      <w:r>
        <w:rPr>
          <w:color w:val="auto"/>
          <w:sz w:val="20"/>
          <w:szCs w:val="22"/>
          <w:rFonts w:hint="eastAsia"/>
        </w:rPr>
        <w:t xml:space="preserve">但实际上，性能增益很大程度上被新增着色器的复杂性和由于更高 GPR 和 LDS 使用而导致的占用率降低所抵消。</w:t>
      </w:r>
    </w:p>
    <w:p w14:paraId="284E0358" w14:textId="77777777" w:rsidR="00286C9D" w:rsidRDefault="00286C9D" w:rsidP="00286C9D">
      <w:pPr>
        <w:pStyle w:val="Heading1"/>
        <w:numPr>
          <w:ilvl w:val="0"/>
          <w:numId w:val="17"/>
        </w:numPr>
        <w:rPr>
          <w:color w:val="auto"/>
          <w:sz w:val="20"/>
          <w:szCs w:val="22"/>
          <w:rFonts w:eastAsiaTheme="minorHAnsi" w:cs="Times New Roman" w:hint="eastAsia"/>
        </w:rPr>
      </w:pPr>
      <w:r>
        <w:rPr>
          <w:color w:val="auto"/>
          <w:sz w:val="20"/>
          <w:szCs w:val="22"/>
          <w:rFonts w:hint="eastAsia"/>
        </w:rPr>
        <w:t xml:space="preserve">尾部 mip 着色器通过选择不同的线程来处理不同的 mip 级别，在单个调度呼叫中将源纹理的 mip 级别从 16×16 压缩至 1×1。</w:t>
      </w:r>
      <w:r>
        <w:rPr>
          <w:color w:val="auto"/>
          <w:sz w:val="20"/>
          <w:szCs w:val="22"/>
          <w:rFonts w:hint="eastAsia"/>
        </w:rPr>
        <w:t xml:space="preserve"> </w:t>
      </w:r>
    </w:p>
    <w:p w14:paraId="314E891F" w14:textId="735BEADD" w:rsidR="00286C9D" w:rsidRPr="00286C9D" w:rsidRDefault="00286C9D" w:rsidP="00286C9D">
      <w:pPr>
        <w:pStyle w:val="Heading1"/>
        <w:ind w:left="1440"/>
        <w:rPr>
          <w:color w:val="auto"/>
          <w:sz w:val="20"/>
          <w:szCs w:val="22"/>
          <w:rFonts w:eastAsiaTheme="minorHAnsi" w:cs="Times New Roman" w:hint="eastAsia"/>
        </w:rPr>
      </w:pPr>
      <w:r>
        <w:rPr>
          <w:color w:val="auto"/>
          <w:sz w:val="20"/>
          <w:szCs w:val="22"/>
          <w:rFonts w:hint="eastAsia"/>
        </w:rPr>
        <w:t xml:space="preserve">由于最小波前尺寸为 64 线程，因此在单独的调度呼叫中压缩每个尾部 mip 的技术将浪费大多数可用线程。</w:t>
      </w:r>
      <w:r>
        <w:rPr>
          <w:color w:val="auto"/>
          <w:sz w:val="20"/>
          <w:szCs w:val="22"/>
          <w:rFonts w:hint="eastAsia"/>
        </w:rPr>
        <w:t xml:space="preserve">通过使用仅一个波前和调度呼叫，尾部 mip 着色器避免了大量的浪费工作。</w:t>
      </w:r>
    </w:p>
    <w:p w14:paraId="2CEF4514" w14:textId="77777777" w:rsidR="00286C9D" w:rsidRPr="00286C9D" w:rsidRDefault="00286C9D" w:rsidP="00286C9D">
      <w:pPr>
        <w:pStyle w:val="Heading1"/>
        <w:rPr>
          <w:color w:val="auto"/>
          <w:sz w:val="20"/>
          <w:szCs w:val="22"/>
          <w:rFonts w:eastAsiaTheme="minorHAnsi" w:cs="Times New Roman" w:hint="eastAsia"/>
        </w:rPr>
      </w:pPr>
      <w:r>
        <w:rPr>
          <w:color w:val="auto"/>
          <w:sz w:val="20"/>
          <w:szCs w:val="22"/>
          <w:rFonts w:hint="eastAsia"/>
        </w:rPr>
        <w:t xml:space="preserve">Direct3D 不允许将 BC 格式的纹理绑定为 UAV，因此无法直接从计算着色器直接写入区块压缩纹理。</w:t>
      </w:r>
      <w:r>
        <w:rPr>
          <w:color w:val="auto"/>
          <w:sz w:val="20"/>
          <w:szCs w:val="22"/>
          <w:rFonts w:hint="eastAsia"/>
        </w:rPr>
        <w:t xml:space="preserve">该样本通过在区块压缩纹理相同的内存位置为可写格式的中间纹理编写别名，从而解决此限制。</w:t>
      </w:r>
      <w:r>
        <w:rPr>
          <w:color w:val="auto"/>
          <w:sz w:val="20"/>
          <w:szCs w:val="22"/>
          <w:rFonts w:hint="eastAsia"/>
        </w:rPr>
        <w:t xml:space="preserve">中间纹理为尺寸的四分之一，并且每个纹素对应于压缩纹理中的一个区块。</w:t>
      </w:r>
      <w:r>
        <w:rPr>
          <w:color w:val="auto"/>
          <w:sz w:val="20"/>
          <w:szCs w:val="22"/>
          <w:rFonts w:hint="eastAsia"/>
        </w:rPr>
        <w:t xml:space="preserve"> </w:t>
      </w:r>
    </w:p>
    <w:p w14:paraId="7239C96F" w14:textId="77777777" w:rsidR="00286C9D" w:rsidRPr="00286C9D" w:rsidRDefault="00286C9D" w:rsidP="00286C9D">
      <w:pPr>
        <w:pStyle w:val="Heading1"/>
        <w:rPr>
          <w:color w:val="auto"/>
          <w:sz w:val="20"/>
          <w:szCs w:val="22"/>
          <w:rFonts w:eastAsiaTheme="minorHAnsi" w:cs="Times New Roman" w:hint="eastAsia"/>
        </w:rPr>
      </w:pPr>
      <w:r>
        <w:rPr>
          <w:color w:val="auto"/>
          <w:sz w:val="20"/>
          <w:szCs w:val="22"/>
          <w:rFonts w:hint="eastAsia"/>
        </w:rPr>
        <w:t xml:space="preserve">以这种方式编写纹理内存的别名需要两种纹理平铺模式和内存布局之间的精确匹配。</w:t>
      </w:r>
      <w:r>
        <w:rPr>
          <w:color w:val="auto"/>
          <w:sz w:val="20"/>
          <w:szCs w:val="22"/>
          <w:rFonts w:hint="eastAsia"/>
        </w:rPr>
        <w:t xml:space="preserve">此外，Direct3D 无视内存别名，因此 GPU 可同时调度多个绘制或调度呼叫，在不同资源上进行操作，在同一内存位置编写别名。</w:t>
      </w:r>
      <w:r>
        <w:rPr>
          <w:color w:val="auto"/>
          <w:sz w:val="20"/>
          <w:szCs w:val="22"/>
          <w:rFonts w:hint="eastAsia"/>
        </w:rPr>
        <w:t xml:space="preserve"> </w:t>
      </w:r>
    </w:p>
    <w:p w14:paraId="4672304B" w14:textId="18A801B3" w:rsidR="00286C9D" w:rsidRDefault="00286C9D" w:rsidP="00286C9D">
      <w:pPr>
        <w:pStyle w:val="Heading1"/>
        <w:rPr>
          <w:color w:val="auto"/>
          <w:sz w:val="20"/>
          <w:szCs w:val="22"/>
          <w:rFonts w:eastAsiaTheme="minorHAnsi" w:cs="Times New Roman" w:hint="eastAsia"/>
        </w:rPr>
      </w:pPr>
      <w:r>
        <w:rPr>
          <w:color w:val="auto"/>
          <w:sz w:val="20"/>
          <w:szCs w:val="22"/>
          <w:rFonts w:hint="eastAsia"/>
        </w:rPr>
        <w:t xml:space="preserve">换句话说，写入中间纹理的着色器可与从别名区块压缩纹理读取的绘制呼叫同时进行调度。</w:t>
      </w:r>
      <w:r>
        <w:rPr>
          <w:color w:val="auto"/>
          <w:sz w:val="20"/>
          <w:szCs w:val="22"/>
          <w:rFonts w:hint="eastAsia"/>
        </w:rPr>
        <w:t xml:space="preserve">为防止这些危险，应手动插入适当栏。</w:t>
      </w:r>
    </w:p>
    <w:p w14:paraId="0055DFE9" w14:textId="629B79D9" w:rsidR="00362238" w:rsidRDefault="00362238" w:rsidP="00362238"/>
    <w:p w14:paraId="019E5759" w14:textId="1381A336" w:rsidR="00362238" w:rsidRPr="00362238" w:rsidRDefault="00362238" w:rsidP="00362238">
      <w:pPr>
        <w:rPr>
          <w:rFonts w:hint="eastAsia"/>
        </w:rPr>
      </w:pPr>
      <w:r>
        <w:rPr>
          <w:rFonts w:hint="eastAsia"/>
        </w:rPr>
        <w:t xml:space="preserve">离线压缩算法实现于 </w:t>
      </w:r>
      <w:hyperlink r:id="rId10" w:history="1">
        <w:r>
          <w:rPr>
            <w:rStyle w:val="Hyperlink"/>
            <w:rFonts w:hint="eastAsia"/>
          </w:rPr>
          <w:t xml:space="preserve">DirectXTex</w:t>
        </w:r>
      </w:hyperlink>
      <w:r>
        <w:rPr>
          <w:rFonts w:hint="eastAsia"/>
        </w:rPr>
        <w:t xml:space="preserve">。</w:t>
      </w:r>
    </w:p>
    <w:p w14:paraId="78355E28" w14:textId="53E2FF8A" w:rsidR="00195A2B" w:rsidRDefault="00195A2B" w:rsidP="00286C9D">
      <w:pPr>
        <w:pStyle w:val="Heading1"/>
        <w:rPr>
          <w:rFonts w:hint="eastAsia"/>
        </w:rPr>
      </w:pPr>
      <w:r>
        <w:rPr>
          <w:rFonts w:hint="eastAsia"/>
        </w:rPr>
        <w:t xml:space="preserve">参考资料</w:t>
      </w:r>
    </w:p>
    <w:p w14:paraId="779DB3AF" w14:textId="77777777" w:rsidR="00195A2B" w:rsidRPr="00DA51FD" w:rsidRDefault="00195A2B" w:rsidP="00195A2B">
      <w:pPr>
        <w:rPr>
          <w:rFonts w:hint="eastAsia"/>
        </w:rPr>
      </w:pPr>
      <w:r>
        <w:rPr>
          <w:rFonts w:hint="eastAsia"/>
        </w:rPr>
        <w:t xml:space="preserve">Microsoft Advanced Technology Group.</w:t>
      </w:r>
      <w:r>
        <w:rPr>
          <w:rFonts w:hint="eastAsia"/>
        </w:rPr>
        <w:t xml:space="preserve">快速区块压缩样本。</w:t>
      </w:r>
      <w:r>
        <w:rPr>
          <w:rFonts w:hint="eastAsia"/>
        </w:rPr>
        <w:t xml:space="preserve">Xbox 360 SDK。</w:t>
      </w:r>
      <w:r>
        <w:rPr>
          <w:rFonts w:hint="eastAsia"/>
        </w:rPr>
        <w:t xml:space="preserve">2010 年 2 月。</w:t>
      </w:r>
    </w:p>
    <w:p w14:paraId="78034724" w14:textId="28ADB02E" w:rsidR="00195A2B" w:rsidRDefault="00195A2B" w:rsidP="00195A2B">
      <w:pPr>
        <w:rPr>
          <w:rFonts w:hint="eastAsia"/>
        </w:rPr>
      </w:pPr>
      <w:r>
        <w:rPr>
          <w:rFonts w:hint="eastAsia"/>
        </w:rPr>
        <w:t xml:space="preserve">Tranchida，Jason。</w:t>
      </w:r>
      <w:hyperlink r:id="rId11" w:history="1">
        <w:r>
          <w:rPr>
            <w:rStyle w:val="Hyperlink"/>
            <w:rFonts w:hint="eastAsia"/>
          </w:rPr>
          <w:t xml:space="preserve">使用 GPU 进行实时纹理压缩</w:t>
        </w:r>
      </w:hyperlink>
      <w:r>
        <w:rPr>
          <w:rFonts w:hint="eastAsia"/>
        </w:rPr>
        <w:t xml:space="preserve">。</w:t>
      </w:r>
      <w:r>
        <w:rPr>
          <w:rFonts w:hint="eastAsia"/>
        </w:rPr>
        <w:t xml:space="preserve">2010 年 GDC。</w:t>
      </w:r>
      <w:r>
        <w:rPr>
          <w:rFonts w:hint="eastAsia"/>
        </w:rPr>
        <w:t xml:space="preserve">2010 年 3 月。</w:t>
      </w:r>
    </w:p>
    <w:p w14:paraId="2A4C942D" w14:textId="77777777" w:rsidR="00195A2B" w:rsidRPr="00DA51FD" w:rsidRDefault="00195A2B" w:rsidP="00195A2B"/>
    <w:p w14:paraId="30CD38F9" w14:textId="4ACD665C" w:rsidR="00195A2B" w:rsidRDefault="00195A2B" w:rsidP="00195A2B">
      <w:pPr>
        <w:rPr>
          <w:rFonts w:hint="eastAsia"/>
        </w:rPr>
      </w:pPr>
      <w:r>
        <w:rPr>
          <w:rFonts w:hint="eastAsia"/>
        </w:rPr>
        <w:t xml:space="preserve">van Waveren，J.M.P</w:t>
      </w:r>
      <w:hyperlink r:id="rId12" w:history="1">
        <w:r>
          <w:rPr>
            <w:rStyle w:val="Hyperlink"/>
            <w:rFonts w:hint="eastAsia"/>
          </w:rPr>
          <w:t xml:space="preserve">。</w:t>
        </w:r>
      </w:hyperlink>
      <w:hyperlink r:id="rId12" w:history="1">
        <w:r>
          <w:rPr>
            <w:rStyle w:val="Hyperlink"/>
            <w:rFonts w:hint="eastAsia"/>
          </w:rPr>
          <w:t xml:space="preserve">实时 DXT 压缩</w:t>
        </w:r>
      </w:hyperlink>
      <w:r>
        <w:rPr>
          <w:rFonts w:hint="eastAsia"/>
        </w:rPr>
        <w:t xml:space="preserve">。</w:t>
      </w:r>
      <w:r>
        <w:rPr>
          <w:rFonts w:hint="eastAsia"/>
        </w:rPr>
        <w:t xml:space="preserve">Intel 软件网络。</w:t>
      </w:r>
      <w:r>
        <w:rPr>
          <w:rFonts w:hint="eastAsia"/>
        </w:rPr>
        <w:t xml:space="preserve">2006 年 5 月。</w:t>
      </w:r>
    </w:p>
    <w:p w14:paraId="04491912" w14:textId="77777777" w:rsidR="00195A2B" w:rsidRPr="00DA51FD" w:rsidRDefault="00195A2B" w:rsidP="00195A2B"/>
    <w:p w14:paraId="4C0F7CE7" w14:textId="566F9411" w:rsidR="00195A2B" w:rsidRDefault="00195A2B" w:rsidP="00195A2B">
      <w:pPr>
        <w:rPr>
          <w:rFonts w:hint="eastAsia"/>
        </w:rPr>
      </w:pPr>
      <w:r>
        <w:rPr>
          <w:rFonts w:hint="eastAsia"/>
        </w:rPr>
        <w:t xml:space="preserve">van Waveren，J.M.P. 和 Castaño，Ignacio。</w:t>
      </w:r>
      <w:hyperlink r:id="rId13" w:history="1">
        <w:r>
          <w:rPr>
            <w:rStyle w:val="Hyperlink"/>
            <w:rFonts w:hint="eastAsia"/>
          </w:rPr>
          <w:t xml:space="preserve">实时 YCoCg-DXT 压缩</w:t>
        </w:r>
      </w:hyperlink>
      <w:r>
        <w:rPr>
          <w:rFonts w:hint="eastAsia"/>
        </w:rPr>
        <w:t xml:space="preserve">。</w:t>
      </w:r>
      <w:r>
        <w:rPr>
          <w:rFonts w:hint="eastAsia"/>
        </w:rPr>
        <w:t xml:space="preserve">NVIDIA 开发者网站。</w:t>
      </w:r>
      <w:r>
        <w:rPr>
          <w:rFonts w:hint="eastAsia"/>
        </w:rPr>
        <w:t xml:space="preserve">2007 年 9 月。</w:t>
      </w:r>
    </w:p>
    <w:p w14:paraId="362168ED" w14:textId="77777777" w:rsidR="00195A2B" w:rsidRPr="00DA51FD" w:rsidRDefault="00195A2B" w:rsidP="00195A2B"/>
    <w:p w14:paraId="09377899" w14:textId="77777777" w:rsidR="00195A2B" w:rsidRPr="00DA51FD" w:rsidRDefault="00195A2B" w:rsidP="00195A2B">
      <w:pPr>
        <w:rPr>
          <w:rFonts w:hint="eastAsia"/>
        </w:rPr>
      </w:pPr>
      <w:r>
        <w:rPr>
          <w:rFonts w:hint="eastAsia"/>
        </w:rPr>
        <w:t xml:space="preserve">van Waveren，J.M.P. 和 Castaño，Ignacio。</w:t>
      </w:r>
      <w:hyperlink r:id="rId14" w:history="1">
        <w:r>
          <w:rPr>
            <w:rStyle w:val="Hyperlink"/>
            <w:rFonts w:hint="eastAsia"/>
          </w:rPr>
          <w:t xml:space="preserve">实时法线贴图 DXT 压缩</w:t>
        </w:r>
      </w:hyperlink>
      <w:r>
        <w:rPr>
          <w:rFonts w:hint="eastAsia"/>
        </w:rPr>
        <w:t xml:space="preserve">。</w:t>
      </w:r>
      <w:r>
        <w:rPr>
          <w:rFonts w:hint="eastAsia"/>
        </w:rPr>
        <w:t xml:space="preserve">NVIDIA 开发者网站。</w:t>
      </w:r>
      <w:r>
        <w:rPr>
          <w:rFonts w:hint="eastAsia"/>
        </w:rPr>
        <w:t xml:space="preserve">2008 年 2 月。</w:t>
      </w:r>
    </w:p>
    <w:p w14:paraId="2E02B46A" w14:textId="77777777" w:rsidR="003D3EF7" w:rsidRDefault="003D3EF7" w:rsidP="003D3EF7">
      <w:pPr>
        <w:pStyle w:val="Heading1"/>
        <w:rPr>
          <w:rFonts w:hint="eastAsia"/>
        </w:rPr>
      </w:pPr>
      <w:r>
        <w:rPr>
          <w:rFonts w:hint="eastAsia"/>
        </w:rPr>
        <w:t xml:space="preserve">更新历史记录</w:t>
      </w:r>
    </w:p>
    <w:p w14:paraId="38D008BF" w14:textId="1C8F4FAF" w:rsidR="00575766" w:rsidRDefault="00195A2B" w:rsidP="00331038">
      <w:pPr>
        <w:rPr>
          <w:rFonts w:hint="eastAsia"/>
        </w:rPr>
      </w:pPr>
      <w:r>
        <w:rPr>
          <w:rFonts w:hint="eastAsia"/>
        </w:rPr>
        <w:t xml:space="preserve">最初发布于 2015 年。</w:t>
      </w:r>
      <w:r>
        <w:rPr>
          <w:rFonts w:hint="eastAsia"/>
        </w:rPr>
        <w:t xml:space="preserve">于 2018 年 12 月使用 DirectX 12 进行重写。</w:t>
      </w:r>
    </w:p>
    <w:p w14:paraId="47E25C32" w14:textId="77777777" w:rsidR="00FB5876" w:rsidRDefault="00FB5876" w:rsidP="00FB5876">
      <w:pPr>
        <w:pStyle w:val="Heading1"/>
        <w:rPr>
          <w:rFonts w:eastAsia="Times New Roman" w:hint="eastAsia"/>
        </w:rPr>
      </w:pPr>
      <w:r>
        <w:rPr>
          <w:rFonts w:hint="eastAsia"/>
        </w:rPr>
        <w:t xml:space="preserve">隐私声明</w:t>
      </w:r>
    </w:p>
    <w:p w14:paraId="51F7B577" w14:textId="77777777" w:rsidR="00FB5876" w:rsidRDefault="00FB5876" w:rsidP="00FB5876">
      <w:pPr>
        <w:rPr>
          <w:rFonts w:hint="eastAsia"/>
        </w:rPr>
      </w:pPr>
      <w:r>
        <w:rPr>
          <w:rFonts w:hint="eastAsia"/>
        </w:rPr>
        <w:t xml:space="preserve">编译和运行示例时，示例可执行文件的文件名将发送给Microsoft以帮助跟踪示例使用情况。</w:t>
      </w:r>
      <w:r>
        <w:rPr>
          <w:rFonts w:hint="eastAsia"/>
        </w:rPr>
        <w:t xml:space="preserve">要选择退出此数据收集，您可以删除Main.cpp中标记为“Sample Usage Telemetry”的代码块。</w:t>
      </w:r>
    </w:p>
    <w:p w14:paraId="26F98520" w14:textId="77777777" w:rsidR="00FB5876" w:rsidRDefault="00FB5876" w:rsidP="00FB5876"/>
    <w:p w14:paraId="4D74EFDF" w14:textId="77777777" w:rsidR="00FB5876" w:rsidRDefault="00FB5876" w:rsidP="00FB5876">
      <w:pPr>
        <w:rPr>
          <w:rFonts w:hint="eastAsia"/>
        </w:rPr>
      </w:pPr>
      <w:r>
        <w:rPr>
          <w:rFonts w:hint="eastAsia"/>
        </w:rPr>
        <w:t xml:space="preserve">有关 Microsoft 隐私政策的更多信息，请参阅 </w:t>
      </w:r>
      <w:hyperlink r:id="rId15" w:history="1">
        <w:r>
          <w:rPr>
            <w:rStyle w:val="Hyperlink"/>
            <w:rFonts w:hint="eastAsia"/>
          </w:rPr>
          <w:t xml:space="preserve">Microsoft 隐私声明</w:t>
        </w:r>
      </w:hyperlink>
      <w:r>
        <w:rPr>
          <w:rFonts w:hint="eastAsia"/>
        </w:rPr>
        <w:t xml:space="preserve">。</w:t>
      </w:r>
    </w:p>
    <w:p w14:paraId="1A231049" w14:textId="77777777" w:rsidR="00FB5876" w:rsidRPr="00331038" w:rsidRDefault="00FB5876" w:rsidP="00331038"/>
    <w:sectPr w:rsidR="00FB5876" w:rsidRPr="00331038" w:rsidSect="00937E3A">
      <w:headerReference w:type="even" r:id="rId16"/>
      <w:headerReference w:type="default" r:id="rId17"/>
      <w:footerReference w:type="even" r:id="rId18"/>
      <w:footerReference w:type="default" r:id="rId19"/>
      <w:headerReference w:type="first" r:id="rId20"/>
      <w:footerReference w:type="first" r:id="rId2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D40A2" w14:textId="77777777" w:rsidR="00BD6DDB" w:rsidRDefault="00BD6DDB" w:rsidP="0074610F">
      <w:r>
        <w:separator/>
      </w:r>
    </w:p>
  </w:endnote>
  <w:endnote w:type="continuationSeparator" w:id="0">
    <w:p w14:paraId="0E69F480" w14:textId="77777777" w:rsidR="00BD6DDB" w:rsidRDefault="00BD6DD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19ABC" w14:textId="77777777" w:rsidR="003C5299" w:rsidRDefault="003C52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458EAF0" w14:textId="77777777" w:rsidTr="00E37847">
      <w:tc>
        <w:tcPr>
          <w:tcW w:w="4500" w:type="pct"/>
          <w:tcBorders>
            <w:top w:val="single" w:sz="4" w:space="0" w:color="808080" w:themeColor="background1" w:themeShade="80"/>
          </w:tcBorders>
          <w:shd w:val="clear" w:color="auto" w:fill="auto"/>
        </w:tcPr>
        <w:p w14:paraId="60028F86" w14:textId="2B43A645" w:rsidR="00843058" w:rsidRPr="00097CCA" w:rsidRDefault="00683D94" w:rsidP="00585527">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14:anchorId="0315387A" wp14:editId="60244D33">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9A6FB7">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Pr>
              <w:color w:val="808080" w:themeColor="background1" w:themeShade="80"/>
              <w:szCs w:val="20"/>
              <w:rFonts w:hint="eastAsia"/>
            </w:rPr>
            <w:t xml:space="preserve">|样本：</w:t>
          </w:r>
          <w:r>
            <w:rPr>
              <w:color w:val="808080" w:themeColor="background1" w:themeShade="80"/>
              <w:szCs w:val="20"/>
              <w:rFonts w:hint="eastAsia"/>
            </w:rPr>
            <w:t xml:space="preserve">FastBlockCompress</w:t>
          </w:r>
        </w:p>
      </w:tc>
      <w:tc>
        <w:tcPr>
          <w:tcW w:w="500" w:type="pct"/>
          <w:tcBorders>
            <w:top w:val="single" w:sz="4" w:space="0" w:color="808080" w:themeColor="background1" w:themeShade="80"/>
          </w:tcBorders>
          <w:shd w:val="clear" w:color="auto" w:fill="auto"/>
        </w:tcPr>
        <w:p w14:paraId="5D48FE84"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A56375">
            <w:rPr>
              <w:b/>
              <w:color w:val="808080" w:themeColor="background1" w:themeShade="80"/>
              <w:szCs w:val="20"/>
              <w:rFonts w:cs="Segoe UI" w:hint="eastAsia"/>
            </w:rPr>
            <w:t>4</w:t>
          </w:r>
          <w:r w:rsidRPr="00097CCA">
            <w:rPr>
              <w:b/>
              <w:color w:val="808080" w:themeColor="background1" w:themeShade="80"/>
              <w:szCs w:val="20"/>
              <w:rFonts w:cs="Segoe UI" w:hint="eastAsia"/>
            </w:rPr>
            <w:fldChar w:fldCharType="end"/>
          </w:r>
        </w:p>
      </w:tc>
    </w:tr>
  </w:tbl>
  <w:p w14:paraId="7239E2FC"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10E785C8" w14:textId="77777777" w:rsidTr="00F70459">
      <w:tc>
        <w:tcPr>
          <w:tcW w:w="4500" w:type="pct"/>
          <w:tcBorders>
            <w:top w:val="single" w:sz="4" w:space="0" w:color="808080" w:themeColor="background1" w:themeShade="80"/>
          </w:tcBorders>
          <w:shd w:val="clear" w:color="auto" w:fill="auto"/>
        </w:tcPr>
        <w:p w14:paraId="57B69AA2" w14:textId="45B2CCB0"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9A6FB7">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1AB5250A" wp14:editId="325AC03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[样品名称]</w:t>
          </w:r>
        </w:p>
      </w:tc>
      <w:tc>
        <w:tcPr>
          <w:tcW w:w="500" w:type="pct"/>
          <w:tcBorders>
            <w:top w:val="single" w:sz="4" w:space="0" w:color="808080" w:themeColor="background1" w:themeShade="80"/>
          </w:tcBorders>
          <w:shd w:val="clear" w:color="auto" w:fill="auto"/>
        </w:tcPr>
        <w:p w14:paraId="13572307"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1D04130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0985E" w14:textId="77777777" w:rsidR="00BD6DDB" w:rsidRDefault="00BD6DDB" w:rsidP="0074610F">
      <w:r>
        <w:separator/>
      </w:r>
    </w:p>
  </w:footnote>
  <w:footnote w:type="continuationSeparator" w:id="0">
    <w:p w14:paraId="5D1FD921" w14:textId="77777777" w:rsidR="00BD6DDB" w:rsidRDefault="00BD6DD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3D47F" w14:textId="77777777" w:rsidR="003C5299" w:rsidRDefault="003C5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06D06" w14:textId="77777777" w:rsidR="003C5299" w:rsidRDefault="003C52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0532DF92" w14:textId="77777777" w:rsidTr="000B6D5E">
      <w:trPr>
        <w:trHeight w:val="1340"/>
      </w:trPr>
      <w:tc>
        <w:tcPr>
          <w:tcW w:w="12240" w:type="dxa"/>
          <w:tcBorders>
            <w:top w:val="nil"/>
            <w:left w:val="nil"/>
            <w:bottom w:val="nil"/>
            <w:right w:val="nil"/>
          </w:tcBorders>
          <w:shd w:val="clear" w:color="auto" w:fill="323232"/>
        </w:tcPr>
        <w:p w14:paraId="0BD68329"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1100A1E" w14:textId="77777777" w:rsidTr="000B6D5E">
            <w:trPr>
              <w:gridAfter w:val="2"/>
              <w:wAfter w:w="2008" w:type="dxa"/>
            </w:trPr>
            <w:tc>
              <w:tcPr>
                <w:tcW w:w="1152" w:type="dxa"/>
                <w:shd w:val="clear" w:color="auto" w:fill="323232"/>
              </w:tcPr>
              <w:p w14:paraId="3F726DCC" w14:textId="77777777" w:rsidR="000B6D5E" w:rsidRDefault="000B6D5E" w:rsidP="00CF3729">
                <w:pPr>
                  <w:pStyle w:val="atgtitle"/>
                  <w:rPr>
                    <w:sz w:val="2"/>
                    <w:szCs w:val="2"/>
                  </w:rPr>
                </w:pPr>
              </w:p>
              <w:p w14:paraId="23EB03E7" w14:textId="77777777" w:rsidR="000B6D5E" w:rsidRPr="000B6D5E" w:rsidRDefault="000B6D5E" w:rsidP="000B6D5E"/>
              <w:p w14:paraId="0A0171C3" w14:textId="77777777" w:rsidR="000B6D5E" w:rsidRDefault="000B6D5E" w:rsidP="000B6D5E"/>
              <w:p w14:paraId="74760C32" w14:textId="77777777" w:rsidR="000B6D5E" w:rsidRPr="000B6D5E" w:rsidRDefault="000B6D5E" w:rsidP="000B6D5E">
                <w:pPr>
                  <w:jc w:val="center"/>
                </w:pPr>
              </w:p>
            </w:tc>
            <w:tc>
              <w:tcPr>
                <w:tcW w:w="19" w:type="dxa"/>
                <w:shd w:val="clear" w:color="auto" w:fill="323232"/>
              </w:tcPr>
              <w:p w14:paraId="6FBEC98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5455713" w14:textId="77777777" w:rsidR="000B6D5E" w:rsidRDefault="000B6D5E" w:rsidP="00CF3729">
                <w:pPr>
                  <w:pStyle w:val="atgtitle"/>
                  <w:rPr>
                    <w:sz w:val="2"/>
                    <w:szCs w:val="2"/>
                  </w:rPr>
                </w:pPr>
              </w:p>
              <w:p w14:paraId="502A1518" w14:textId="77777777" w:rsidR="000B6D5E" w:rsidRDefault="000B6D5E" w:rsidP="00CF3729">
                <w:pPr>
                  <w:pStyle w:val="atgtitle"/>
                  <w:rPr>
                    <w:sz w:val="2"/>
                    <w:szCs w:val="2"/>
                  </w:rPr>
                </w:pPr>
              </w:p>
              <w:p w14:paraId="79782576" w14:textId="77777777" w:rsidR="000B6D5E" w:rsidRDefault="000B6D5E" w:rsidP="00CF3729">
                <w:pPr>
                  <w:pStyle w:val="atgtitle"/>
                  <w:rPr>
                    <w:sz w:val="2"/>
                    <w:szCs w:val="2"/>
                  </w:rPr>
                </w:pPr>
              </w:p>
              <w:p w14:paraId="114227B7" w14:textId="77777777" w:rsidR="000B6D5E" w:rsidRDefault="000B6D5E" w:rsidP="00CF3729">
                <w:pPr>
                  <w:pStyle w:val="atgtitle"/>
                  <w:rPr>
                    <w:sz w:val="2"/>
                    <w:szCs w:val="2"/>
                  </w:rPr>
                </w:pPr>
              </w:p>
              <w:p w14:paraId="31FA5719" w14:textId="77777777" w:rsidR="000B6D5E" w:rsidRDefault="000B6D5E" w:rsidP="00CF3729">
                <w:pPr>
                  <w:pStyle w:val="atgtitle"/>
                  <w:rPr>
                    <w:sz w:val="2"/>
                    <w:szCs w:val="2"/>
                  </w:rPr>
                </w:pPr>
              </w:p>
              <w:p w14:paraId="6BEC15B9" w14:textId="77777777" w:rsidR="000B6D5E" w:rsidRDefault="000B6D5E" w:rsidP="00CF3729">
                <w:pPr>
                  <w:pStyle w:val="atgtitle"/>
                  <w:rPr>
                    <w:sz w:val="2"/>
                    <w:szCs w:val="2"/>
                  </w:rPr>
                </w:pPr>
              </w:p>
              <w:p w14:paraId="5B0A4A86" w14:textId="77777777" w:rsidR="000B6D5E" w:rsidRDefault="000B6D5E" w:rsidP="00CF3729">
                <w:pPr>
                  <w:pStyle w:val="atgtitle"/>
                  <w:rPr>
                    <w:sz w:val="2"/>
                    <w:szCs w:val="2"/>
                  </w:rPr>
                </w:pPr>
              </w:p>
              <w:p w14:paraId="34D9DB4F" w14:textId="77777777" w:rsidR="000B6D5E" w:rsidRDefault="000B6D5E" w:rsidP="00CF3729">
                <w:pPr>
                  <w:pStyle w:val="atgtitle"/>
                  <w:rPr>
                    <w:sz w:val="2"/>
                    <w:szCs w:val="2"/>
                  </w:rPr>
                </w:pPr>
              </w:p>
              <w:p w14:paraId="24BF3D5E" w14:textId="77777777" w:rsidR="000B6D5E" w:rsidRDefault="000B6D5E" w:rsidP="00CF3729">
                <w:pPr>
                  <w:pStyle w:val="atgtitle"/>
                  <w:rPr>
                    <w:sz w:val="2"/>
                    <w:szCs w:val="2"/>
                  </w:rPr>
                </w:pPr>
              </w:p>
              <w:p w14:paraId="57A2068E" w14:textId="77777777" w:rsidR="000B6D5E" w:rsidRDefault="000B6D5E" w:rsidP="00CF3729">
                <w:pPr>
                  <w:pStyle w:val="atgtitle"/>
                  <w:rPr>
                    <w:sz w:val="2"/>
                    <w:szCs w:val="2"/>
                  </w:rPr>
                </w:pPr>
              </w:p>
              <w:p w14:paraId="7DE25365" w14:textId="77777777" w:rsidR="000B6D5E" w:rsidRDefault="000B6D5E" w:rsidP="00CF3729">
                <w:pPr>
                  <w:pStyle w:val="atgtitle"/>
                  <w:rPr>
                    <w:sz w:val="2"/>
                    <w:szCs w:val="2"/>
                  </w:rPr>
                </w:pPr>
              </w:p>
              <w:p w14:paraId="6EA6336A" w14:textId="77777777" w:rsidR="000B6D5E" w:rsidRDefault="000B6D5E" w:rsidP="00CF3729">
                <w:pPr>
                  <w:pStyle w:val="atgtitle"/>
                  <w:rPr>
                    <w:sz w:val="2"/>
                    <w:szCs w:val="2"/>
                  </w:rPr>
                </w:pPr>
              </w:p>
              <w:p w14:paraId="790F4EBC" w14:textId="77777777" w:rsidR="000B6D5E" w:rsidRDefault="000B6D5E" w:rsidP="00CF3729">
                <w:pPr>
                  <w:pStyle w:val="atgtitle"/>
                  <w:rPr>
                    <w:sz w:val="2"/>
                    <w:szCs w:val="2"/>
                  </w:rPr>
                </w:pPr>
              </w:p>
              <w:p w14:paraId="5B4C6B6C" w14:textId="77777777" w:rsidR="000B6D5E" w:rsidRDefault="000B6D5E" w:rsidP="00CF3729">
                <w:pPr>
                  <w:pStyle w:val="atgtitle"/>
                  <w:rPr>
                    <w:sz w:val="2"/>
                    <w:szCs w:val="2"/>
                  </w:rPr>
                </w:pPr>
              </w:p>
              <w:p w14:paraId="1DC1E215" w14:textId="77777777" w:rsidR="000B6D5E" w:rsidRDefault="000B6D5E" w:rsidP="00CF3729">
                <w:pPr>
                  <w:pStyle w:val="atgtitle"/>
                  <w:rPr>
                    <w:sz w:val="2"/>
                    <w:szCs w:val="2"/>
                  </w:rPr>
                </w:pPr>
              </w:p>
              <w:p w14:paraId="320AFCEC" w14:textId="77777777" w:rsidR="000B6D5E" w:rsidRDefault="000B6D5E" w:rsidP="00CF3729">
                <w:pPr>
                  <w:pStyle w:val="atgtitle"/>
                  <w:rPr>
                    <w:sz w:val="2"/>
                    <w:szCs w:val="2"/>
                  </w:rPr>
                </w:pPr>
              </w:p>
              <w:p w14:paraId="6A95B389" w14:textId="77777777" w:rsidR="000B6D5E" w:rsidRDefault="000B6D5E" w:rsidP="00CF3729">
                <w:pPr>
                  <w:pStyle w:val="atgtitle"/>
                  <w:rPr>
                    <w:sz w:val="2"/>
                    <w:szCs w:val="2"/>
                  </w:rPr>
                </w:pPr>
              </w:p>
              <w:p w14:paraId="0C158BC1" w14:textId="77777777" w:rsidR="000B6D5E" w:rsidRDefault="000B6D5E" w:rsidP="00CF3729">
                <w:pPr>
                  <w:pStyle w:val="atgtitle"/>
                  <w:rPr>
                    <w:sz w:val="2"/>
                    <w:szCs w:val="2"/>
                  </w:rPr>
                </w:pPr>
              </w:p>
              <w:p w14:paraId="319F1DB1" w14:textId="77777777" w:rsidR="000B6D5E" w:rsidRPr="00CF3729" w:rsidRDefault="000B6D5E" w:rsidP="00CF3729">
                <w:pPr>
                  <w:pStyle w:val="atgtitle"/>
                  <w:rPr>
                    <w:sz w:val="2"/>
                    <w:szCs w:val="2"/>
                    <w:rFonts w:hint="eastAsia"/>
                  </w:rPr>
                </w:pPr>
                <w:r>
                  <w:rPr>
                    <w:sz w:val="2"/>
                    <w:szCs w:val="2"/>
                    <w:rFonts w:hint="eastAsia"/>
                  </w:rPr>
                  <w:t xml:space="preserve">         </w:t>
                </w:r>
              </w:p>
              <w:p w14:paraId="4042DA14" w14:textId="77777777" w:rsidR="000B6D5E" w:rsidRPr="00CF3729" w:rsidRDefault="000B6D5E" w:rsidP="00CF3729">
                <w:pPr>
                  <w:rPr>
                    <w:sz w:val="2"/>
                    <w:szCs w:val="2"/>
                    <w:rFonts w:hint="eastAsia"/>
                  </w:rPr>
                </w:pPr>
                <w:r>
                  <w:rPr>
                    <w:rFonts w:hint="eastAsia"/>
                  </w:rPr>
                  <w:drawing>
                    <wp:inline distT="0" distB="0" distL="0" distR="0" wp14:anchorId="6BB29629" wp14:editId="3D37A4AC">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FB515BE" w14:textId="77777777" w:rsidR="000B6D5E" w:rsidRPr="00CF3729" w:rsidRDefault="000B6D5E" w:rsidP="00CF3729">
                <w:pPr>
                  <w:rPr>
                    <w:sz w:val="2"/>
                    <w:szCs w:val="2"/>
                  </w:rPr>
                </w:pPr>
              </w:p>
            </w:tc>
          </w:tr>
          <w:tr w:rsidR="000B6D5E" w:rsidRPr="00CF3729" w14:paraId="2C10A3D1" w14:textId="77777777" w:rsidTr="000B6D5E">
            <w:trPr>
              <w:trHeight w:val="90"/>
            </w:trPr>
            <w:tc>
              <w:tcPr>
                <w:tcW w:w="1152" w:type="dxa"/>
                <w:shd w:val="clear" w:color="auto" w:fill="323232"/>
              </w:tcPr>
              <w:p w14:paraId="1F60F08D" w14:textId="77777777" w:rsidR="000B6D5E" w:rsidRPr="00CF3729" w:rsidRDefault="000B6D5E" w:rsidP="00CF3729">
                <w:pPr>
                  <w:pStyle w:val="atgformheaders"/>
                  <w:rPr>
                    <w:sz w:val="2"/>
                    <w:szCs w:val="2"/>
                  </w:rPr>
                </w:pPr>
              </w:p>
            </w:tc>
            <w:tc>
              <w:tcPr>
                <w:tcW w:w="2027" w:type="dxa"/>
                <w:gridSpan w:val="2"/>
                <w:shd w:val="clear" w:color="auto" w:fill="323232"/>
              </w:tcPr>
              <w:p w14:paraId="64F907E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0B1B32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C322DB6" w14:textId="77777777" w:rsidR="000B6D5E" w:rsidRPr="00CF3729" w:rsidRDefault="000B6D5E" w:rsidP="00CF3729">
                <w:pPr>
                  <w:pStyle w:val="atgformheaders"/>
                  <w:rPr>
                    <w:sz w:val="2"/>
                    <w:szCs w:val="2"/>
                    <w:rFonts w:hint="eastAsia"/>
                  </w:rPr>
                </w:pPr>
                <w:r>
                  <w:rPr>
                    <w:sz w:val="2"/>
                    <w:szCs w:val="2"/>
                    <w:rFonts w:hint="eastAsia"/>
                  </w:rPr>
                  <w:t xml:space="preserve">            </w:t>
                </w:r>
              </w:p>
            </w:tc>
          </w:tr>
        </w:tbl>
        <w:p w14:paraId="156956C7" w14:textId="77777777" w:rsidR="00CF3729" w:rsidRPr="00CF3729" w:rsidRDefault="00CF3729">
          <w:pPr>
            <w:pStyle w:val="Header"/>
            <w:rPr>
              <w:sz w:val="2"/>
              <w:szCs w:val="2"/>
            </w:rPr>
          </w:pPr>
        </w:p>
      </w:tc>
    </w:tr>
  </w:tbl>
  <w:p w14:paraId="0BB79E43" w14:textId="77777777" w:rsidR="00CF3729" w:rsidRDefault="00CF3729">
    <w:pPr>
      <w:pStyle w:val="Header"/>
      <w:rPr>
        <w:sz w:val="2"/>
        <w:szCs w:val="2"/>
      </w:rPr>
    </w:pPr>
  </w:p>
  <w:p w14:paraId="1E3F28FD" w14:textId="77777777" w:rsidR="000B6D5E" w:rsidRDefault="000B6D5E">
    <w:pPr>
      <w:pStyle w:val="Header"/>
      <w:rPr>
        <w:sz w:val="2"/>
        <w:szCs w:val="2"/>
      </w:rPr>
    </w:pPr>
  </w:p>
  <w:p w14:paraId="781431AC" w14:textId="77777777" w:rsidR="000B6D5E" w:rsidRDefault="000B6D5E">
    <w:pPr>
      <w:pStyle w:val="Header"/>
      <w:rPr>
        <w:sz w:val="2"/>
        <w:szCs w:val="2"/>
      </w:rPr>
    </w:pPr>
  </w:p>
  <w:p w14:paraId="39C2836E" w14:textId="77777777" w:rsidR="000B6D5E" w:rsidRDefault="000B6D5E">
    <w:pPr>
      <w:pStyle w:val="Header"/>
      <w:rPr>
        <w:sz w:val="2"/>
        <w:szCs w:val="2"/>
      </w:rPr>
    </w:pPr>
  </w:p>
  <w:p w14:paraId="7638D4D2" w14:textId="77777777" w:rsidR="000B6D5E" w:rsidRDefault="000B6D5E">
    <w:pPr>
      <w:pStyle w:val="Header"/>
      <w:rPr>
        <w:sz w:val="2"/>
        <w:szCs w:val="2"/>
      </w:rPr>
    </w:pPr>
  </w:p>
  <w:p w14:paraId="7D496F86" w14:textId="77777777" w:rsidR="000B6D5E" w:rsidRDefault="000B6D5E">
    <w:pPr>
      <w:pStyle w:val="Header"/>
      <w:rPr>
        <w:sz w:val="2"/>
        <w:szCs w:val="2"/>
      </w:rPr>
    </w:pPr>
  </w:p>
  <w:p w14:paraId="054875F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D494E1B"/>
    <w:multiLevelType w:val="hybridMultilevel"/>
    <w:tmpl w:val="663A4CCE"/>
    <w:lvl w:ilvl="0" w:tplc="130E5CC6">
      <w:numFmt w:val="bullet"/>
      <w:lvlText w:val="•"/>
      <w:lvlJc w:val="left"/>
      <w:pPr>
        <w:ind w:left="1440" w:hanging="72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A064F"/>
    <w:multiLevelType w:val="hybridMultilevel"/>
    <w:tmpl w:val="8D70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470ED7"/>
    <w:multiLevelType w:val="hybridMultilevel"/>
    <w:tmpl w:val="61DA6B20"/>
    <w:lvl w:ilvl="0" w:tplc="130E5CC6">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5"/>
  </w:num>
  <w:num w:numId="4">
    <w:abstractNumId w:val="11"/>
  </w:num>
  <w:num w:numId="5">
    <w:abstractNumId w:val="10"/>
  </w:num>
  <w:num w:numId="6">
    <w:abstractNumId w:val="12"/>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13"/>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C445E"/>
    <w:rsid w:val="00150ED8"/>
    <w:rsid w:val="00195A2B"/>
    <w:rsid w:val="001C132C"/>
    <w:rsid w:val="00203869"/>
    <w:rsid w:val="0024713D"/>
    <w:rsid w:val="002741D2"/>
    <w:rsid w:val="002748E9"/>
    <w:rsid w:val="00281D12"/>
    <w:rsid w:val="00286C9D"/>
    <w:rsid w:val="00287A4C"/>
    <w:rsid w:val="00294A1B"/>
    <w:rsid w:val="002E7BBB"/>
    <w:rsid w:val="00303D44"/>
    <w:rsid w:val="00321170"/>
    <w:rsid w:val="00323BC6"/>
    <w:rsid w:val="00330D3F"/>
    <w:rsid w:val="00331038"/>
    <w:rsid w:val="00355166"/>
    <w:rsid w:val="00362238"/>
    <w:rsid w:val="003C5299"/>
    <w:rsid w:val="003D3EF7"/>
    <w:rsid w:val="00425592"/>
    <w:rsid w:val="004B7DDA"/>
    <w:rsid w:val="005640ED"/>
    <w:rsid w:val="00575766"/>
    <w:rsid w:val="00575F36"/>
    <w:rsid w:val="00585527"/>
    <w:rsid w:val="005B4DA9"/>
    <w:rsid w:val="005E3DA1"/>
    <w:rsid w:val="006767C8"/>
    <w:rsid w:val="00683D94"/>
    <w:rsid w:val="006A532D"/>
    <w:rsid w:val="006B2EF9"/>
    <w:rsid w:val="006B7433"/>
    <w:rsid w:val="006D1A5F"/>
    <w:rsid w:val="00707E22"/>
    <w:rsid w:val="0074610F"/>
    <w:rsid w:val="007624A4"/>
    <w:rsid w:val="00764B3A"/>
    <w:rsid w:val="007806DC"/>
    <w:rsid w:val="007A0848"/>
    <w:rsid w:val="00843058"/>
    <w:rsid w:val="00886E89"/>
    <w:rsid w:val="00887700"/>
    <w:rsid w:val="00914EDA"/>
    <w:rsid w:val="00917557"/>
    <w:rsid w:val="00937E3A"/>
    <w:rsid w:val="00985949"/>
    <w:rsid w:val="00987A88"/>
    <w:rsid w:val="009A6FB7"/>
    <w:rsid w:val="009F6B2F"/>
    <w:rsid w:val="00A0279B"/>
    <w:rsid w:val="00A56375"/>
    <w:rsid w:val="00AE567F"/>
    <w:rsid w:val="00B15AAA"/>
    <w:rsid w:val="00B62C6B"/>
    <w:rsid w:val="00BC1F23"/>
    <w:rsid w:val="00BD6DDB"/>
    <w:rsid w:val="00C573F2"/>
    <w:rsid w:val="00CB3D43"/>
    <w:rsid w:val="00CF3729"/>
    <w:rsid w:val="00D24EFC"/>
    <w:rsid w:val="00DC7DFC"/>
    <w:rsid w:val="00DD0606"/>
    <w:rsid w:val="00DE5820"/>
    <w:rsid w:val="00E16AF8"/>
    <w:rsid w:val="00E31BE9"/>
    <w:rsid w:val="00E6273F"/>
    <w:rsid w:val="00EA119F"/>
    <w:rsid w:val="00EE2624"/>
    <w:rsid w:val="00F40AC7"/>
    <w:rsid w:val="00F70459"/>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12FDB"/>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UnresolvedMention">
    <w:name w:val="Unresolved Mention"/>
    <w:basedOn w:val="DefaultParagraphFont"/>
    <w:uiPriority w:val="99"/>
    <w:semiHidden/>
    <w:unhideWhenUsed/>
    <w:rsid w:val="00362238"/>
    <w:rPr>
      <w:color w:val="605E5C"/>
      <w:shd w:val="clear" w:color="auto" w:fill="E1DFDD"/>
    </w:rPr>
  </w:style>
  <w:style w:type="character" w:styleId="FollowedHyperlink">
    <w:name w:val="FollowedHyperlink"/>
    <w:basedOn w:val="DefaultParagraphFont"/>
    <w:uiPriority w:val="99"/>
    <w:semiHidden/>
    <w:unhideWhenUsed/>
    <w:rsid w:val="00EA11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vidia.com/object/real-time-ycocg-dxt-compression.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software.intel.com/sites/default/files/23/1d/324337_324337.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dcvault.com/play/1012554/Texture-compression-in-real-time" TargetMode="External"/><Relationship Id="rId5" Type="http://schemas.openxmlformats.org/officeDocument/2006/relationships/footnotes" Target="footnotes.xml"/><Relationship Id="rId15" Type="http://schemas.openxmlformats.org/officeDocument/2006/relationships/hyperlink" Target="https://privacy.microsoft.com/zh-cn/privacystatement/" TargetMode="External"/><Relationship Id="rId23" Type="http://schemas.openxmlformats.org/officeDocument/2006/relationships/theme" Target="theme/theme1.xml"/><Relationship Id="rId10" Type="http://schemas.openxmlformats.org/officeDocument/2006/relationships/hyperlink" Target="https://github.com/Microsoft/DirectXTex/"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developer.download.nvidia.com/whitepapers/2008/real-time-normal-map-dxt-compression.pdf"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30</cp:revision>
  <dcterms:created xsi:type="dcterms:W3CDTF">2016-01-25T19:58:00Z</dcterms:created>
  <dcterms:modified xsi:type="dcterms:W3CDTF">2018-12-14T00:25:00Z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2018-12-13T01:20:03.7936876Z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