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68ED"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09325112" wp14:editId="6A5CC6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2A204F8" w14:textId="77777777" w:rsidR="00764B3A" w:rsidRPr="00AE567F" w:rsidRDefault="00097D51" w:rsidP="00AE567F">
      <w:pPr>
        <w:pStyle w:val="Title"/>
        <w:rPr>
          <w:rFonts w:hint="eastAsia"/>
        </w:rPr>
      </w:pPr>
      <w:r>
        <w:rPr>
          <w:rFonts w:hint="eastAsia"/>
        </w:rPr>
        <w:t xml:space="preserve">简易实例样本</w:t>
      </w:r>
    </w:p>
    <w:p w14:paraId="3CA572C3" w14:textId="77777777" w:rsidR="00281D12" w:rsidRPr="00281D12" w:rsidRDefault="00281D12" w:rsidP="00281D12">
      <w:pPr>
        <w:rPr>
          <w:i/>
          <w:rFonts w:hint="eastAsia"/>
        </w:rPr>
      </w:pPr>
      <w:r>
        <w:rPr>
          <w:i/>
          <w:rFonts w:hint="eastAsia"/>
        </w:rPr>
        <w:t xml:space="preserve">此示例与 2015 年 11 月的 Xbox One XDK 或更高版本兼容。</w:t>
      </w:r>
    </w:p>
    <w:p w14:paraId="3230866C" w14:textId="77777777" w:rsidR="00281D12" w:rsidRDefault="00281D12" w:rsidP="00AE567F">
      <w:pPr>
        <w:pStyle w:val="Heading1"/>
        <w:spacing w:before="0"/>
      </w:pPr>
    </w:p>
    <w:p w14:paraId="0AA1A013" w14:textId="77777777" w:rsidR="00764B3A" w:rsidRDefault="00281D12" w:rsidP="00AE567F">
      <w:pPr>
        <w:pStyle w:val="Heading1"/>
        <w:spacing w:before="0"/>
        <w:rPr>
          <w:rFonts w:hint="eastAsia"/>
        </w:rPr>
      </w:pPr>
      <w:r>
        <w:rPr>
          <w:rFonts w:hint="eastAsia"/>
        </w:rPr>
        <w:t xml:space="preserve">描述</w:t>
      </w:r>
    </w:p>
    <w:p w14:paraId="7586AD46" w14:textId="77777777" w:rsidR="00281D12" w:rsidRDefault="00DD4B6D" w:rsidP="00281D12">
      <w:pPr>
        <w:rPr>
          <w:rFonts w:hint="eastAsia"/>
        </w:rPr>
      </w:pPr>
      <w:r>
        <w:rPr>
          <w:rFonts w:hint="eastAsia"/>
        </w:rPr>
        <w:t xml:space="preserve">此示例演示如何使用Direct3D 11 API进行实例化。</w:t>
      </w:r>
    </w:p>
    <w:p w14:paraId="4AB2555C" w14:textId="77777777" w:rsidR="00E16AF8" w:rsidRPr="001072AF" w:rsidRDefault="00281D12" w:rsidP="001072AF">
      <w:pPr>
        <w:pStyle w:val="Heading1"/>
        <w:spacing w:after="120"/>
        <w:rPr>
          <w:rFonts w:hint="eastAsia"/>
        </w:rPr>
      </w:pPr>
      <w:r>
        <w:rPr>
          <w:rFonts w:hint="eastAsia"/>
        </w:rPr>
        <w:t xml:space="preserve">使用样本</w:t>
      </w:r>
    </w:p>
    <w:p w14:paraId="368178DF" w14:textId="77777777" w:rsidR="00C003D2" w:rsidRDefault="001072AF" w:rsidP="005E3DA1">
      <w:pPr>
        <w:rPr>
          <w:rFonts w:hint="eastAsia"/>
        </w:rPr>
      </w:pPr>
      <w:r>
        <w:rPr>
          <w:rFonts w:hint="eastAsia"/>
        </w:rPr>
        <w:drawing>
          <wp:inline distT="0" distB="0" distL="0" distR="0" wp14:anchorId="0429A85F" wp14:editId="4D2D09D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006E3AC"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3EA85E4F"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4358FD19" w14:textId="77777777" w:rsidR="00FB117D" w:rsidRPr="00C42F0D" w:rsidRDefault="00FB117D" w:rsidP="005E6344">
            <w:pPr>
              <w:pStyle w:val="Tableheading"/>
              <w:rPr>
                <w:bCs w:val="0"/>
                <w:rFonts w:hint="eastAsia"/>
              </w:rPr>
            </w:pPr>
            <w:r>
              <w:rPr>
                <w:rFonts w:hint="eastAsia"/>
              </w:rPr>
              <w:t xml:space="preserve">操作</w:t>
            </w:r>
          </w:p>
        </w:tc>
        <w:tc>
          <w:tcPr>
            <w:tcW w:w="2085" w:type="pct"/>
            <w:hideMark/>
          </w:tcPr>
          <w:p w14:paraId="47F28A17" w14:textId="77777777" w:rsidR="00FB117D" w:rsidRPr="00C42F0D" w:rsidRDefault="00FB117D" w:rsidP="005E6344">
            <w:pPr>
              <w:pStyle w:val="Tableheading"/>
              <w:rPr>
                <w:bCs w:val="0"/>
                <w:rFonts w:hint="eastAsia"/>
              </w:rPr>
            </w:pPr>
            <w:r>
              <w:rPr>
                <w:rFonts w:hint="eastAsia"/>
              </w:rPr>
              <w:t xml:space="preserve">游戏手柄</w:t>
            </w:r>
          </w:p>
        </w:tc>
      </w:tr>
      <w:tr w:rsidR="00FB117D" w:rsidRPr="00C42F0D" w14:paraId="15920798" w14:textId="77777777" w:rsidTr="00FB117D">
        <w:trPr>
          <w:trHeight w:val="469"/>
        </w:trPr>
        <w:tc>
          <w:tcPr>
            <w:tcW w:w="2915" w:type="pct"/>
          </w:tcPr>
          <w:p w14:paraId="5C36E140" w14:textId="77777777" w:rsidR="00FB117D" w:rsidRPr="00C42F0D" w:rsidRDefault="003F09F1" w:rsidP="005E6344">
            <w:pPr>
              <w:pStyle w:val="Tablebody"/>
              <w:rPr>
                <w:rFonts w:hint="eastAsia"/>
              </w:rPr>
            </w:pPr>
            <w:r>
              <w:rPr>
                <w:rFonts w:hint="eastAsia"/>
              </w:rPr>
              <w:t xml:space="preserve">旋转相机</w:t>
            </w:r>
          </w:p>
        </w:tc>
        <w:tc>
          <w:tcPr>
            <w:tcW w:w="2085" w:type="pct"/>
          </w:tcPr>
          <w:p w14:paraId="406C4B50" w14:textId="77777777" w:rsidR="00FB117D" w:rsidRPr="00C42F0D" w:rsidRDefault="003F09F1" w:rsidP="005E6344">
            <w:pPr>
              <w:pStyle w:val="Tablebody"/>
              <w:rPr>
                <w:rFonts w:hint="eastAsia"/>
              </w:rPr>
            </w:pPr>
            <w:r>
              <w:rPr>
                <w:rFonts w:hint="eastAsia"/>
              </w:rPr>
              <w:t xml:space="preserve">左控制棒</w:t>
            </w:r>
          </w:p>
        </w:tc>
      </w:tr>
      <w:tr w:rsidR="00FB117D" w14:paraId="4E994A62"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1E3A094B" w14:textId="77777777" w:rsidR="00FB117D" w:rsidRDefault="003F09F1" w:rsidP="005E6344">
            <w:pPr>
              <w:pStyle w:val="Tablebody"/>
              <w:rPr>
                <w:rFonts w:hint="eastAsia"/>
              </w:rPr>
            </w:pPr>
            <w:r>
              <w:rPr>
                <w:rFonts w:hint="eastAsia"/>
              </w:rPr>
              <w:t xml:space="preserve">更改实例计数</w:t>
            </w:r>
          </w:p>
        </w:tc>
        <w:tc>
          <w:tcPr>
            <w:tcW w:w="2085" w:type="pct"/>
          </w:tcPr>
          <w:p w14:paraId="33834921" w14:textId="77777777" w:rsidR="00FB117D" w:rsidRDefault="003F09F1" w:rsidP="005E6344">
            <w:pPr>
              <w:pStyle w:val="Tablebody"/>
              <w:rPr>
                <w:rFonts w:hint="eastAsia"/>
              </w:rPr>
            </w:pPr>
            <w:r>
              <w:rPr>
                <w:rFonts w:hint="eastAsia"/>
              </w:rPr>
              <w:t xml:space="preserve">LB / RB</w:t>
            </w:r>
          </w:p>
        </w:tc>
      </w:tr>
      <w:tr w:rsidR="00FB117D" w14:paraId="196A7E4E" w14:textId="77777777" w:rsidTr="00FB117D">
        <w:trPr>
          <w:trHeight w:val="362"/>
        </w:trPr>
        <w:tc>
          <w:tcPr>
            <w:tcW w:w="2915" w:type="pct"/>
          </w:tcPr>
          <w:p w14:paraId="69C771CF" w14:textId="77777777" w:rsidR="00FB117D" w:rsidRDefault="003F09F1" w:rsidP="005E6344">
            <w:pPr>
              <w:pStyle w:val="Tablebody"/>
              <w:rPr>
                <w:rFonts w:hint="eastAsia"/>
              </w:rPr>
            </w:pPr>
            <w:r>
              <w:rPr>
                <w:rFonts w:hint="eastAsia"/>
              </w:rPr>
              <w:t xml:space="preserve">重置模拟</w:t>
            </w:r>
          </w:p>
        </w:tc>
        <w:tc>
          <w:tcPr>
            <w:tcW w:w="2085" w:type="pct"/>
          </w:tcPr>
          <w:p w14:paraId="2365F4BB" w14:textId="77777777" w:rsidR="00FB117D" w:rsidRDefault="003F09F1" w:rsidP="005E6344">
            <w:pPr>
              <w:pStyle w:val="Tablebody"/>
              <w:rPr>
                <w:rFonts w:hint="eastAsia"/>
              </w:rPr>
            </w:pPr>
            <w:r>
              <w:rPr>
                <w:rFonts w:hint="eastAsia"/>
              </w:rPr>
              <w:t xml:space="preserve">A</w:t>
            </w:r>
          </w:p>
        </w:tc>
      </w:tr>
      <w:tr w:rsidR="00FB117D" w14:paraId="7FA39FA9"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257C3E0B" w14:textId="77777777" w:rsidR="00FB117D" w:rsidRDefault="00FB117D" w:rsidP="005E6344">
            <w:pPr>
              <w:pStyle w:val="Tablebody"/>
              <w:rPr>
                <w:rFonts w:hint="eastAsia"/>
              </w:rPr>
            </w:pPr>
            <w:r>
              <w:rPr>
                <w:rFonts w:hint="eastAsia"/>
              </w:rPr>
              <w:t xml:space="preserve">退出</w:t>
            </w:r>
          </w:p>
        </w:tc>
        <w:tc>
          <w:tcPr>
            <w:tcW w:w="2085" w:type="pct"/>
          </w:tcPr>
          <w:p w14:paraId="2A64FF51" w14:textId="77777777" w:rsidR="00FB117D" w:rsidRDefault="00FB117D" w:rsidP="005E6344">
            <w:pPr>
              <w:pStyle w:val="Tablebody"/>
              <w:rPr>
                <w:rFonts w:hint="eastAsia"/>
              </w:rPr>
            </w:pPr>
            <w:r>
              <w:rPr>
                <w:rFonts w:hint="eastAsia"/>
              </w:rPr>
              <w:t xml:space="preserve">查看按键</w:t>
            </w:r>
          </w:p>
        </w:tc>
      </w:tr>
    </w:tbl>
    <w:p w14:paraId="43312369" w14:textId="77777777" w:rsidR="00E16AF8" w:rsidRDefault="00E16AF8" w:rsidP="00331038"/>
    <w:p w14:paraId="4F28474A" w14:textId="77777777" w:rsidR="00575766" w:rsidRDefault="00575766">
      <w:pPr>
        <w:spacing w:after="160" w:line="259" w:lineRule="auto"/>
        <w:rPr>
          <w:rFonts w:hint="eastAsia"/>
        </w:rPr>
      </w:pPr>
      <w:r>
        <w:rPr>
          <w:rFonts w:hint="eastAsia"/>
        </w:rPr>
        <w:br w:type="page"/>
      </w:r>
    </w:p>
    <w:p w14:paraId="5743BB0C" w14:textId="77777777" w:rsidR="003D3EF7" w:rsidRDefault="003D3EF7" w:rsidP="003D3EF7">
      <w:pPr>
        <w:pStyle w:val="Heading1"/>
        <w:rPr>
          <w:rFonts w:hint="eastAsia"/>
        </w:rPr>
      </w:pPr>
      <w:r>
        <w:rPr>
          <w:rFonts w:hint="eastAsia"/>
        </w:rPr>
        <w:t xml:space="preserve">实施说明</w:t>
      </w:r>
    </w:p>
    <w:p w14:paraId="5C6B9B0B" w14:textId="77777777" w:rsidR="00CF1651" w:rsidRPr="00CF1651" w:rsidRDefault="00CF1651" w:rsidP="00CF1651">
      <w:pPr>
        <w:rPr>
          <w:iCs/>
          <w:rFonts w:hint="eastAsia"/>
        </w:rPr>
      </w:pPr>
      <w:bookmarkStart w:id="0" w:name="ID2EMD"/>
      <w:bookmarkEnd w:id="0"/>
      <w:r>
        <w:rPr>
          <w:rFonts w:hint="eastAsia"/>
        </w:rPr>
        <w:t xml:space="preserve">渲染实例化几何体时需要考虑四个方面：</w:t>
      </w:r>
    </w:p>
    <w:p w14:paraId="2727CD1D" w14:textId="77777777" w:rsidR="00CF1651" w:rsidRPr="00CF1651" w:rsidRDefault="00CF1651" w:rsidP="00CF1651">
      <w:pPr>
        <w:numPr>
          <w:ilvl w:val="0"/>
          <w:numId w:val="15"/>
        </w:numPr>
        <w:rPr>
          <w:b/>
          <w:iCs/>
          <w:rFonts w:hint="eastAsia"/>
        </w:rPr>
      </w:pPr>
      <w:r>
        <w:rPr>
          <w:b/>
          <w:iCs/>
          <w:rFonts w:hint="eastAsia"/>
        </w:rPr>
        <w:t xml:space="preserve">几何数据</w:t>
      </w:r>
    </w:p>
    <w:p w14:paraId="3CF49C64" w14:textId="77777777" w:rsidR="00CF1651" w:rsidRPr="00CF1651" w:rsidRDefault="00CF1651" w:rsidP="00CF1651">
      <w:pPr>
        <w:ind w:left="720"/>
        <w:rPr>
          <w:iCs/>
          <w:rFonts w:hint="eastAsia"/>
        </w:rPr>
      </w:pPr>
      <w:r>
        <w:rPr>
          <w:rFonts w:hint="eastAsia"/>
        </w:rPr>
        <w:t xml:space="preserve">在此样本的情况下，这包括顶点和索引缓冲区，其中包含描述立方体表面的顶点和索引。</w:t>
      </w:r>
      <w:r>
        <w:rPr>
          <w:rFonts w:hint="eastAsia"/>
        </w:rPr>
        <w:t xml:space="preserve">还包括将此立方体渲染至世界中所需的着色器和状态。</w:t>
      </w:r>
      <w:r>
        <w:rPr>
          <w:rFonts w:hint="eastAsia"/>
        </w:rPr>
        <w:t xml:space="preserve">所有这些组件的设置和操作方式与非实例化几何体的设置和操作方式相同。</w:t>
      </w:r>
      <w:r>
        <w:rPr>
          <w:rFonts w:hint="eastAsia"/>
        </w:rPr>
        <w:t xml:space="preserve">（请参阅 SimpleInstancing12.cpp 中的 </w:t>
      </w:r>
      <w:r>
        <w:rPr>
          <w:i/>
          <w:color w:val="000000"/>
          <w:sz w:val="19"/>
          <w:szCs w:val="19"/>
          <w:highlight w:val="white"/>
          <w:rFonts w:ascii="Consolas" w:hAnsi="Consolas" w:hint="eastAsia" w:eastAsia="SimSun"/>
        </w:rPr>
        <w:t xml:space="preserve">CreateDeviceDependentResources</w:t>
      </w:r>
      <w:r>
        <w:rPr>
          <w:rFonts w:hint="eastAsia"/>
        </w:rPr>
        <w:t xml:space="preserve">）</w:t>
      </w:r>
    </w:p>
    <w:p w14:paraId="0F206D6A" w14:textId="77777777" w:rsidR="00CF1651" w:rsidRPr="00CF1651" w:rsidRDefault="00CF1651" w:rsidP="00CF1651">
      <w:pPr>
        <w:numPr>
          <w:ilvl w:val="0"/>
          <w:numId w:val="15"/>
        </w:numPr>
        <w:rPr>
          <w:b/>
          <w:iCs/>
          <w:rFonts w:hint="eastAsia"/>
        </w:rPr>
      </w:pPr>
      <w:r>
        <w:rPr>
          <w:b/>
          <w:iCs/>
          <w:rFonts w:hint="eastAsia"/>
        </w:rPr>
        <w:t xml:space="preserve">实例数据</w:t>
      </w:r>
    </w:p>
    <w:p w14:paraId="6A12411D" w14:textId="77777777" w:rsidR="00CF1651" w:rsidRPr="00CF1651" w:rsidRDefault="00CF1651" w:rsidP="00CF1651">
      <w:pPr>
        <w:ind w:left="720"/>
        <w:rPr>
          <w:iCs/>
          <w:rFonts w:hint="eastAsia"/>
        </w:rPr>
      </w:pPr>
      <w:r>
        <w:rPr>
          <w:rFonts w:hint="eastAsia"/>
        </w:rPr>
        <w:t xml:space="preserve">对于标准 D3D11.X 实例化渲染，每个实例数据通过一个或多个顶点缓冲区提供。</w:t>
      </w:r>
      <w:r>
        <w:rPr>
          <w:rFonts w:hint="eastAsia"/>
        </w:rPr>
        <w:t xml:space="preserve">这些顶点缓冲区的创建方式与任何其他顶点缓冲区的创建方式相同。</w:t>
      </w:r>
      <w:r>
        <w:rPr>
          <w:rFonts w:hint="eastAsia"/>
        </w:rPr>
        <w:t xml:space="preserve">此样本使用了两个顶点缓冲区。</w:t>
      </w:r>
      <w:r>
        <w:rPr>
          <w:rFonts w:hint="eastAsia"/>
        </w:rPr>
        <w:t xml:space="preserve">一个为静态（使用 </w:t>
      </w:r>
      <w:r>
        <w:rPr>
          <w:i/>
          <w:rFonts w:hint="eastAsia"/>
        </w:rPr>
        <w:t xml:space="preserve">D3D11_USAGE_IMMUTABLE </w:t>
      </w:r>
      <w:r>
        <w:rPr>
          <w:rFonts w:hint="eastAsia"/>
        </w:rPr>
        <w:t xml:space="preserve">标记创建），包含每个实例的颜色数据（在样本使用期内保持不变）。</w:t>
      </w:r>
      <w:r>
        <w:rPr>
          <w:rFonts w:hint="eastAsia"/>
        </w:rPr>
        <w:t xml:space="preserve">另一个为动态（使用 </w:t>
      </w:r>
      <w:r>
        <w:rPr>
          <w:i/>
          <w:rFonts w:hint="eastAsia"/>
        </w:rPr>
        <w:t xml:space="preserve">D3D11_USAGE_DYNAMIC </w:t>
      </w:r>
      <w:r>
        <w:rPr>
          <w:rFonts w:hint="eastAsia"/>
        </w:rPr>
        <w:t xml:space="preserve">和 </w:t>
      </w:r>
      <w:r>
        <w:rPr>
          <w:i/>
          <w:rFonts w:hint="eastAsia"/>
        </w:rPr>
        <w:t xml:space="preserve">D3D11_CPU_ACCESS_WRITE </w:t>
      </w:r>
      <w:r>
        <w:rPr>
          <w:rFonts w:hint="eastAsia"/>
        </w:rPr>
        <w:t xml:space="preserve">标记创建），包含每个实例的位置和方向信息。</w:t>
      </w:r>
    </w:p>
    <w:p w14:paraId="5958EBEC" w14:textId="77777777" w:rsidR="00CF1651" w:rsidRPr="00CF1651" w:rsidRDefault="00CF1651" w:rsidP="00CF1651">
      <w:pPr>
        <w:numPr>
          <w:ilvl w:val="0"/>
          <w:numId w:val="15"/>
        </w:numPr>
        <w:rPr>
          <w:b/>
          <w:iCs/>
          <w:rFonts w:hint="eastAsia"/>
        </w:rPr>
      </w:pPr>
      <w:r>
        <w:rPr>
          <w:b/>
          <w:iCs/>
          <w:rFonts w:hint="eastAsia"/>
        </w:rPr>
        <w:t xml:space="preserve">实例化布局</w:t>
      </w:r>
    </w:p>
    <w:p w14:paraId="435F9646" w14:textId="77777777" w:rsidR="00CF1651" w:rsidRPr="00CF1651" w:rsidRDefault="00CF1651" w:rsidP="00CF1651">
      <w:pPr>
        <w:ind w:left="720"/>
        <w:rPr>
          <w:iCs/>
          <w:rFonts w:hint="eastAsia"/>
        </w:rPr>
      </w:pPr>
      <w:r>
        <w:rPr>
          <w:rFonts w:hint="eastAsia"/>
        </w:rPr>
        <w:t xml:space="preserve">要渲染几何实例，D3D需要有关如何解释所提供的顶点数据的信息。</w:t>
      </w:r>
      <w:r>
        <w:rPr>
          <w:rFonts w:hint="eastAsia"/>
        </w:rPr>
        <w:t xml:space="preserve">这是使用数组完成的 </w:t>
      </w:r>
      <w:r>
        <w:rPr>
          <w:i/>
          <w:rFonts w:hint="eastAsia"/>
        </w:rPr>
        <w:t xml:space="preserve">D3D11_INPUT_ELEMENT_DESC </w:t>
      </w:r>
      <w:r>
        <w:rPr>
          <w:rFonts w:hint="eastAsia"/>
        </w:rPr>
        <w:t xml:space="preserve">结构，与标准渲染完成的方式非常相似。</w:t>
      </w:r>
      <w:r>
        <w:rPr>
          <w:rFonts w:hint="eastAsia"/>
        </w:rPr>
        <w:t xml:space="preserve">但是，此结构中添加了额外的元素。</w:t>
      </w:r>
      <w:r>
        <w:rPr>
          <w:rFonts w:hint="eastAsia"/>
        </w:rPr>
        <w:t xml:space="preserve">几何数据标记为 </w:t>
      </w:r>
      <w:r>
        <w:rPr>
          <w:i/>
          <w:rFonts w:hint="eastAsia"/>
        </w:rPr>
        <w:t xml:space="preserve">D3D11_INPUT_PER_VERTEX_DATA </w:t>
      </w:r>
      <w:r>
        <w:rPr>
          <w:rFonts w:hint="eastAsia"/>
        </w:rPr>
        <w:t xml:space="preserve">的价值 </w:t>
      </w:r>
      <w:r>
        <w:rPr>
          <w:i/>
          <w:rFonts w:hint="eastAsia"/>
        </w:rPr>
        <w:t xml:space="preserve">InputSlotClass </w:t>
      </w:r>
      <w:r>
        <w:rPr>
          <w:rFonts w:hint="eastAsia"/>
        </w:rPr>
        <w:t xml:space="preserve">像往常一样，元素，但每个实例数据使用 </w:t>
      </w:r>
      <w:r>
        <w:rPr>
          <w:i/>
          <w:rFonts w:hint="eastAsia"/>
        </w:rPr>
        <w:t xml:space="preserve">D3D11_INPUT_PER_INSTANCE_DATA </w:t>
      </w:r>
      <w:r>
        <w:rPr>
          <w:rFonts w:hint="eastAsia"/>
        </w:rPr>
        <w:t xml:space="preserve">值。</w:t>
      </w:r>
      <w:r>
        <w:rPr>
          <w:rFonts w:hint="eastAsia"/>
        </w:rPr>
        <w:t xml:space="preserve">该 </w:t>
      </w:r>
      <w:r>
        <w:rPr>
          <w:i/>
          <w:rFonts w:hint="eastAsia"/>
        </w:rPr>
        <w:t xml:space="preserve">InputSlot </w:t>
      </w:r>
      <w:r>
        <w:rPr>
          <w:rFonts w:hint="eastAsia"/>
        </w:rPr>
        <w:t xml:space="preserve">element也用于表示从中提取每个数据的顶点流。</w:t>
      </w:r>
      <w:r>
        <w:rPr>
          <w:rFonts w:hint="eastAsia"/>
        </w:rPr>
        <w:t xml:space="preserve"> </w:t>
      </w:r>
    </w:p>
    <w:p w14:paraId="4514D797" w14:textId="77777777" w:rsidR="00CF1651" w:rsidRPr="00CF1651" w:rsidRDefault="00CF1651" w:rsidP="00CF1651">
      <w:pPr>
        <w:ind w:left="720"/>
        <w:rPr>
          <w:iCs/>
          <w:rFonts w:hint="eastAsia"/>
        </w:rPr>
      </w:pPr>
      <w:r>
        <w:rPr>
          <w:rFonts w:hint="eastAsia"/>
        </w:rPr>
        <w:t xml:space="preserve">顶点着色器使用的顶点结构被定义为将几何和每个实例数据都集中在一起（这反映了在 </w:t>
      </w:r>
      <w:r>
        <w:rPr>
          <w:i/>
          <w:rFonts w:hint="eastAsia"/>
        </w:rPr>
        <w:t xml:space="preserve">D3D11_INPUT_ELEMENT_DESC</w:t>
      </w:r>
      <w:r>
        <w:rPr>
          <w:rFonts w:hint="eastAsia"/>
        </w:rPr>
        <w:t xml:space="preserve"> 数组中进行描述的布局）。</w:t>
      </w:r>
      <w:r>
        <w:rPr>
          <w:rFonts w:hint="eastAsia"/>
        </w:rPr>
        <w:t xml:space="preserve"> </w:t>
      </w:r>
    </w:p>
    <w:p w14:paraId="4B9FA5BB" w14:textId="77777777" w:rsidR="00CF1651" w:rsidRPr="00CF1651" w:rsidRDefault="00CF1651" w:rsidP="00CF1651">
      <w:pPr>
        <w:ind w:left="720"/>
        <w:rPr>
          <w:i/>
          <w:iCs/>
          <w:rFonts w:hint="eastAsia"/>
        </w:rPr>
      </w:pPr>
      <w:r>
        <w:rPr>
          <w:i/>
          <w:iCs/>
          <w:b/>
          <w:rFonts w:hint="eastAsia"/>
        </w:rPr>
        <w:t xml:space="preserve">注意：</w:t>
      </w:r>
      <w:r>
        <w:rPr>
          <w:i/>
          <w:iCs/>
          <w:rFonts w:hint="eastAsia"/>
        </w:rPr>
        <w:t xml:space="preserve">此样本使用</w:t>
      </w:r>
      <w:r>
        <w:rPr>
          <w:rFonts w:hint="eastAsia"/>
        </w:rPr>
        <w:t xml:space="preserve">D3D11_APPEND_ALIGNED_ELEMENT </w:t>
      </w:r>
      <w:r>
        <w:rPr>
          <w:i/>
          <w:iCs/>
          <w:rFonts w:hint="eastAsia"/>
        </w:rPr>
        <w:t xml:space="preserve">元素的</w:t>
      </w:r>
      <w:r>
        <w:rPr>
          <w:rFonts w:hint="eastAsia"/>
        </w:rPr>
        <w:t xml:space="preserve">AlignedByteOffset</w:t>
      </w:r>
      <w:r>
        <w:rPr>
          <w:i/>
          <w:iCs/>
          <w:rFonts w:hint="eastAsia"/>
        </w:rPr>
        <w:t xml:space="preserve"> 常量在输入布局中自动正确对齐数据。</w:t>
      </w:r>
      <w:r>
        <w:rPr>
          <w:i/>
          <w:iCs/>
          <w:rFonts w:hint="eastAsia"/>
        </w:rPr>
        <w:t xml:space="preserve">这仅在所讨论的顶点缓冲区的结构包含正确对齐的数据时才有效。</w:t>
      </w:r>
      <w:r>
        <w:rPr>
          <w:i/>
          <w:iCs/>
          <w:rFonts w:hint="eastAsia"/>
        </w:rPr>
        <w:t xml:space="preserve">如果要跳过（或忽略）顶点数据中的元素，则需要精确对齐偏移。</w:t>
      </w:r>
    </w:p>
    <w:p w14:paraId="46A5C3A9" w14:textId="77777777" w:rsidR="00CF1651" w:rsidRPr="003576AB" w:rsidRDefault="00CF1651" w:rsidP="00CF1651">
      <w:pPr>
        <w:numPr>
          <w:ilvl w:val="0"/>
          <w:numId w:val="15"/>
        </w:numPr>
        <w:rPr>
          <w:b/>
          <w:iCs/>
          <w:rFonts w:hint="eastAsia"/>
        </w:rPr>
      </w:pPr>
      <w:r>
        <w:rPr>
          <w:b/>
          <w:iCs/>
          <w:rFonts w:hint="eastAsia"/>
        </w:rPr>
        <w:t xml:space="preserve">渲染</w:t>
      </w:r>
    </w:p>
    <w:p w14:paraId="6050043B" w14:textId="77777777" w:rsidR="00CF1651" w:rsidRDefault="00CF1651" w:rsidP="00CF1651">
      <w:pPr>
        <w:ind w:left="720"/>
        <w:rPr>
          <w:rFonts w:hint="eastAsia"/>
        </w:rPr>
      </w:pPr>
      <w:r>
        <w:rPr>
          <w:rFonts w:hint="eastAsia"/>
        </w:rPr>
        <w:t xml:space="preserve">一旦先前的点被钉死，渲染实例化数据就很简单。</w:t>
      </w:r>
      <w:r>
        <w:rPr>
          <w:i/>
          <w:rFonts w:hint="eastAsia"/>
        </w:rPr>
        <w:t xml:space="preserve">ID3D11DeviceContext::IASetVertexBuffers</w:t>
      </w:r>
      <w:r>
        <w:rPr>
          <w:rFonts w:hint="eastAsia"/>
        </w:rPr>
        <w:t xml:space="preserve">API 用于设置用作输入的顶点缓冲区（在本例中为输入缓冲区），而 </w:t>
      </w:r>
      <w:r>
        <w:rPr>
          <w:i/>
          <w:rFonts w:hint="eastAsia"/>
        </w:rPr>
        <w:t xml:space="preserve">ID3D11DeviceContext::DrawIndexedInstanced </w:t>
      </w:r>
      <w:r>
        <w:rPr>
          <w:rFonts w:hint="eastAsia"/>
        </w:rPr>
        <w:t xml:space="preserve">API 则用于渲染。</w:t>
      </w:r>
      <w:r>
        <w:rPr>
          <w:rFonts w:hint="eastAsia"/>
        </w:rPr>
        <w:t xml:space="preserve">渲染设置的其余部分与标准非实例渲染的执行方式相同。</w:t>
      </w:r>
    </w:p>
    <w:p w14:paraId="78BF4377" w14:textId="77777777" w:rsidR="003D3EF7" w:rsidRDefault="003D3EF7" w:rsidP="003D3EF7">
      <w:pPr>
        <w:pStyle w:val="Heading1"/>
        <w:rPr>
          <w:rFonts w:hint="eastAsia"/>
        </w:rPr>
      </w:pPr>
      <w:r>
        <w:rPr>
          <w:rFonts w:hint="eastAsia"/>
        </w:rPr>
        <w:t xml:space="preserve">更新历史记录</w:t>
      </w:r>
    </w:p>
    <w:p w14:paraId="5C8C2BFB" w14:textId="3A9ACD0F" w:rsidR="00575766" w:rsidRDefault="00C1559B" w:rsidP="00331038">
      <w:pPr>
        <w:rPr>
          <w:rFonts w:hint="eastAsia"/>
        </w:rPr>
      </w:pPr>
      <w:r>
        <w:rPr>
          <w:rFonts w:hint="eastAsia"/>
        </w:rPr>
        <w:t xml:space="preserve">2016 年 5 月首次发布。</w:t>
      </w:r>
      <w:r>
        <w:rPr>
          <w:rFonts w:hint="eastAsia"/>
        </w:rPr>
        <w:t xml:space="preserve">2017 年 4 月更新为运行 Xbox One X 时支持 4k 交换链。</w:t>
      </w:r>
    </w:p>
    <w:p w14:paraId="088030DA" w14:textId="77777777" w:rsidR="00B01EB9" w:rsidRDefault="00B01EB9" w:rsidP="00B01EB9">
      <w:pPr>
        <w:pStyle w:val="Heading1"/>
        <w:rPr>
          <w:rFonts w:hint="eastAsia"/>
        </w:rPr>
      </w:pPr>
      <w:r>
        <w:rPr>
          <w:rFonts w:hint="eastAsia"/>
        </w:rPr>
        <w:t xml:space="preserve">隐私声明</w:t>
      </w:r>
    </w:p>
    <w:p w14:paraId="38DEC78E" w14:textId="77777777" w:rsidR="00B01EB9" w:rsidRDefault="00B01EB9" w:rsidP="00B01EB9">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559A5A71" w14:textId="77777777" w:rsidR="00B01EB9" w:rsidRDefault="00B01EB9" w:rsidP="00B01EB9">
      <w:pPr>
        <w:rPr>
          <w:rFonts w:cs="Segoe UI"/>
          <w:szCs w:val="20"/>
        </w:rPr>
      </w:pPr>
    </w:p>
    <w:p w14:paraId="1D8C824F" w14:textId="77777777" w:rsidR="00B01EB9" w:rsidRDefault="00B01EB9" w:rsidP="00B01EB9">
      <w:pPr>
        <w:rPr>
          <w:szCs w:val="20"/>
          <w:rFonts w:cs="Segoe UI" w:hint="eastAsia"/>
        </w:rPr>
      </w:pPr>
      <w:r>
        <w:rPr>
          <w:rFonts w:hint="eastAsia"/>
        </w:rPr>
        <w:t xml:space="preserve">有关 Microsoft 隐私政策的更多信息，请参阅 </w:t>
      </w:r>
      <w:hyperlink r:id="rId10" w:history="1">
        <w:r>
          <w:rPr>
            <w:rStyle w:val="Hyperlink"/>
            <w:rFonts w:hint="eastAsia"/>
          </w:rPr>
          <w:t xml:space="preserve">Microsoft 隐私声明</w:t>
        </w:r>
      </w:hyperlink>
      <w:r>
        <w:rPr>
          <w:rFonts w:hint="eastAsia"/>
        </w:rPr>
        <w:t xml:space="preserve">。</w:t>
      </w:r>
    </w:p>
    <w:p w14:paraId="326FE1B3" w14:textId="77777777" w:rsidR="00B01EB9" w:rsidRPr="00331038" w:rsidRDefault="00B01EB9" w:rsidP="00331038"/>
    <w:sectPr w:rsidR="00B01EB9"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98B1" w14:textId="77777777" w:rsidR="00637D14" w:rsidRDefault="00637D14" w:rsidP="0074610F">
      <w:r>
        <w:separator/>
      </w:r>
    </w:p>
  </w:endnote>
  <w:endnote w:type="continuationSeparator" w:id="0">
    <w:p w14:paraId="138B00BF" w14:textId="77777777" w:rsidR="00637D14" w:rsidRDefault="00637D1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EC99" w14:textId="77777777" w:rsidR="0097513A" w:rsidRDefault="00975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AC7448F" w14:textId="77777777" w:rsidTr="00E37847">
      <w:tc>
        <w:tcPr>
          <w:tcW w:w="4500" w:type="pct"/>
          <w:tcBorders>
            <w:top w:val="single" w:sz="4" w:space="0" w:color="808080" w:themeColor="background1" w:themeShade="80"/>
          </w:tcBorders>
          <w:shd w:val="clear" w:color="auto" w:fill="auto"/>
        </w:tcPr>
        <w:p w14:paraId="36528447" w14:textId="77777777" w:rsidR="00843058" w:rsidRPr="00097CCA" w:rsidRDefault="00683D94" w:rsidP="00097D51">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50305DB2" wp14:editId="6A87447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97513A">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SimpleInstancing</w:t>
          </w:r>
        </w:p>
      </w:tc>
      <w:tc>
        <w:tcPr>
          <w:tcW w:w="500" w:type="pct"/>
          <w:tcBorders>
            <w:top w:val="single" w:sz="4" w:space="0" w:color="808080" w:themeColor="background1" w:themeShade="80"/>
          </w:tcBorders>
          <w:shd w:val="clear" w:color="auto" w:fill="auto"/>
        </w:tcPr>
        <w:p w14:paraId="16A95FA7"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B01EB9">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499E194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DC3DBE6" w14:textId="77777777" w:rsidTr="00F70459">
      <w:tc>
        <w:tcPr>
          <w:tcW w:w="4500" w:type="pct"/>
          <w:tcBorders>
            <w:top w:val="single" w:sz="4" w:space="0" w:color="808080" w:themeColor="background1" w:themeShade="80"/>
          </w:tcBorders>
          <w:shd w:val="clear" w:color="auto" w:fill="auto"/>
        </w:tcPr>
        <w:p w14:paraId="1A8285BB" w14:textId="77777777"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97513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4F6F8350" wp14:editId="040D72C7">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1C5115F3"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0DD7F1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1EEA" w14:textId="77777777" w:rsidR="00637D14" w:rsidRDefault="00637D14" w:rsidP="0074610F">
      <w:r>
        <w:separator/>
      </w:r>
    </w:p>
  </w:footnote>
  <w:footnote w:type="continuationSeparator" w:id="0">
    <w:p w14:paraId="3DE4918E" w14:textId="77777777" w:rsidR="00637D14" w:rsidRDefault="00637D1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F2640" w14:textId="77777777" w:rsidR="0097513A" w:rsidRDefault="00975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92CC" w14:textId="77777777" w:rsidR="0097513A" w:rsidRDefault="00975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BB76809" w14:textId="77777777" w:rsidTr="000B6D5E">
      <w:trPr>
        <w:trHeight w:val="1340"/>
      </w:trPr>
      <w:tc>
        <w:tcPr>
          <w:tcW w:w="12240" w:type="dxa"/>
          <w:tcBorders>
            <w:top w:val="nil"/>
            <w:left w:val="nil"/>
            <w:bottom w:val="nil"/>
            <w:right w:val="nil"/>
          </w:tcBorders>
          <w:shd w:val="clear" w:color="auto" w:fill="323232"/>
        </w:tcPr>
        <w:p w14:paraId="4BDB394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93919CD" w14:textId="77777777" w:rsidTr="000B6D5E">
            <w:trPr>
              <w:gridAfter w:val="2"/>
              <w:wAfter w:w="2008" w:type="dxa"/>
            </w:trPr>
            <w:tc>
              <w:tcPr>
                <w:tcW w:w="1152" w:type="dxa"/>
                <w:shd w:val="clear" w:color="auto" w:fill="323232"/>
              </w:tcPr>
              <w:p w14:paraId="3430D054" w14:textId="77777777" w:rsidR="000B6D5E" w:rsidRDefault="000B6D5E" w:rsidP="00CF3729">
                <w:pPr>
                  <w:pStyle w:val="atgtitle"/>
                  <w:rPr>
                    <w:sz w:val="2"/>
                    <w:szCs w:val="2"/>
                  </w:rPr>
                </w:pPr>
              </w:p>
              <w:p w14:paraId="4FB4EC33" w14:textId="77777777" w:rsidR="000B6D5E" w:rsidRPr="000B6D5E" w:rsidRDefault="000B6D5E" w:rsidP="000B6D5E"/>
              <w:p w14:paraId="6AD63784" w14:textId="77777777" w:rsidR="000B6D5E" w:rsidRDefault="000B6D5E" w:rsidP="000B6D5E"/>
              <w:p w14:paraId="371CBEBC" w14:textId="77777777" w:rsidR="000B6D5E" w:rsidRPr="000B6D5E" w:rsidRDefault="000B6D5E" w:rsidP="000B6D5E">
                <w:pPr>
                  <w:jc w:val="center"/>
                </w:pPr>
              </w:p>
            </w:tc>
            <w:tc>
              <w:tcPr>
                <w:tcW w:w="19" w:type="dxa"/>
                <w:shd w:val="clear" w:color="auto" w:fill="323232"/>
              </w:tcPr>
              <w:p w14:paraId="64CE0ED5"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01BE7BB" w14:textId="77777777" w:rsidR="000B6D5E" w:rsidRDefault="000B6D5E" w:rsidP="00CF3729">
                <w:pPr>
                  <w:pStyle w:val="atgtitle"/>
                  <w:rPr>
                    <w:sz w:val="2"/>
                    <w:szCs w:val="2"/>
                  </w:rPr>
                </w:pPr>
              </w:p>
              <w:p w14:paraId="5995CF6B" w14:textId="77777777" w:rsidR="000B6D5E" w:rsidRDefault="000B6D5E" w:rsidP="00CF3729">
                <w:pPr>
                  <w:pStyle w:val="atgtitle"/>
                  <w:rPr>
                    <w:sz w:val="2"/>
                    <w:szCs w:val="2"/>
                  </w:rPr>
                </w:pPr>
              </w:p>
              <w:p w14:paraId="63431795" w14:textId="77777777" w:rsidR="000B6D5E" w:rsidRDefault="000B6D5E" w:rsidP="00CF3729">
                <w:pPr>
                  <w:pStyle w:val="atgtitle"/>
                  <w:rPr>
                    <w:sz w:val="2"/>
                    <w:szCs w:val="2"/>
                  </w:rPr>
                </w:pPr>
              </w:p>
              <w:p w14:paraId="1FEC958F" w14:textId="77777777" w:rsidR="000B6D5E" w:rsidRDefault="000B6D5E" w:rsidP="00CF3729">
                <w:pPr>
                  <w:pStyle w:val="atgtitle"/>
                  <w:rPr>
                    <w:sz w:val="2"/>
                    <w:szCs w:val="2"/>
                  </w:rPr>
                </w:pPr>
              </w:p>
              <w:p w14:paraId="52324E0A" w14:textId="77777777" w:rsidR="000B6D5E" w:rsidRDefault="000B6D5E" w:rsidP="00CF3729">
                <w:pPr>
                  <w:pStyle w:val="atgtitle"/>
                  <w:rPr>
                    <w:sz w:val="2"/>
                    <w:szCs w:val="2"/>
                  </w:rPr>
                </w:pPr>
              </w:p>
              <w:p w14:paraId="6EE8AD39" w14:textId="77777777" w:rsidR="000B6D5E" w:rsidRDefault="000B6D5E" w:rsidP="00CF3729">
                <w:pPr>
                  <w:pStyle w:val="atgtitle"/>
                  <w:rPr>
                    <w:sz w:val="2"/>
                    <w:szCs w:val="2"/>
                  </w:rPr>
                </w:pPr>
              </w:p>
              <w:p w14:paraId="6F4A4A82" w14:textId="77777777" w:rsidR="000B6D5E" w:rsidRDefault="000B6D5E" w:rsidP="00CF3729">
                <w:pPr>
                  <w:pStyle w:val="atgtitle"/>
                  <w:rPr>
                    <w:sz w:val="2"/>
                    <w:szCs w:val="2"/>
                  </w:rPr>
                </w:pPr>
              </w:p>
              <w:p w14:paraId="10193F29" w14:textId="77777777" w:rsidR="000B6D5E" w:rsidRDefault="000B6D5E" w:rsidP="00CF3729">
                <w:pPr>
                  <w:pStyle w:val="atgtitle"/>
                  <w:rPr>
                    <w:sz w:val="2"/>
                    <w:szCs w:val="2"/>
                  </w:rPr>
                </w:pPr>
              </w:p>
              <w:p w14:paraId="3398CAF5" w14:textId="77777777" w:rsidR="000B6D5E" w:rsidRDefault="000B6D5E" w:rsidP="00CF3729">
                <w:pPr>
                  <w:pStyle w:val="atgtitle"/>
                  <w:rPr>
                    <w:sz w:val="2"/>
                    <w:szCs w:val="2"/>
                  </w:rPr>
                </w:pPr>
              </w:p>
              <w:p w14:paraId="07AEE24A" w14:textId="77777777" w:rsidR="000B6D5E" w:rsidRDefault="000B6D5E" w:rsidP="00CF3729">
                <w:pPr>
                  <w:pStyle w:val="atgtitle"/>
                  <w:rPr>
                    <w:sz w:val="2"/>
                    <w:szCs w:val="2"/>
                  </w:rPr>
                </w:pPr>
              </w:p>
              <w:p w14:paraId="5B2BD6B8" w14:textId="77777777" w:rsidR="000B6D5E" w:rsidRDefault="000B6D5E" w:rsidP="00CF3729">
                <w:pPr>
                  <w:pStyle w:val="atgtitle"/>
                  <w:rPr>
                    <w:sz w:val="2"/>
                    <w:szCs w:val="2"/>
                  </w:rPr>
                </w:pPr>
              </w:p>
              <w:p w14:paraId="3BD946A2" w14:textId="77777777" w:rsidR="000B6D5E" w:rsidRDefault="000B6D5E" w:rsidP="00CF3729">
                <w:pPr>
                  <w:pStyle w:val="atgtitle"/>
                  <w:rPr>
                    <w:sz w:val="2"/>
                    <w:szCs w:val="2"/>
                  </w:rPr>
                </w:pPr>
              </w:p>
              <w:p w14:paraId="19777D03" w14:textId="77777777" w:rsidR="000B6D5E" w:rsidRDefault="000B6D5E" w:rsidP="00CF3729">
                <w:pPr>
                  <w:pStyle w:val="atgtitle"/>
                  <w:rPr>
                    <w:sz w:val="2"/>
                    <w:szCs w:val="2"/>
                  </w:rPr>
                </w:pPr>
              </w:p>
              <w:p w14:paraId="18038C7F" w14:textId="77777777" w:rsidR="000B6D5E" w:rsidRDefault="000B6D5E" w:rsidP="00CF3729">
                <w:pPr>
                  <w:pStyle w:val="atgtitle"/>
                  <w:rPr>
                    <w:sz w:val="2"/>
                    <w:szCs w:val="2"/>
                  </w:rPr>
                </w:pPr>
              </w:p>
              <w:p w14:paraId="5B31A4A6" w14:textId="77777777" w:rsidR="000B6D5E" w:rsidRDefault="000B6D5E" w:rsidP="00CF3729">
                <w:pPr>
                  <w:pStyle w:val="atgtitle"/>
                  <w:rPr>
                    <w:sz w:val="2"/>
                    <w:szCs w:val="2"/>
                  </w:rPr>
                </w:pPr>
              </w:p>
              <w:p w14:paraId="1A865D35" w14:textId="77777777" w:rsidR="000B6D5E" w:rsidRDefault="000B6D5E" w:rsidP="00CF3729">
                <w:pPr>
                  <w:pStyle w:val="atgtitle"/>
                  <w:rPr>
                    <w:sz w:val="2"/>
                    <w:szCs w:val="2"/>
                  </w:rPr>
                </w:pPr>
              </w:p>
              <w:p w14:paraId="2FB2791F" w14:textId="77777777" w:rsidR="000B6D5E" w:rsidRDefault="000B6D5E" w:rsidP="00CF3729">
                <w:pPr>
                  <w:pStyle w:val="atgtitle"/>
                  <w:rPr>
                    <w:sz w:val="2"/>
                    <w:szCs w:val="2"/>
                  </w:rPr>
                </w:pPr>
              </w:p>
              <w:p w14:paraId="6CDD5CF2" w14:textId="77777777" w:rsidR="000B6D5E" w:rsidRDefault="000B6D5E" w:rsidP="00CF3729">
                <w:pPr>
                  <w:pStyle w:val="atgtitle"/>
                  <w:rPr>
                    <w:sz w:val="2"/>
                    <w:szCs w:val="2"/>
                  </w:rPr>
                </w:pPr>
              </w:p>
              <w:p w14:paraId="0343A315" w14:textId="77777777" w:rsidR="000B6D5E" w:rsidRPr="00CF3729" w:rsidRDefault="000B6D5E" w:rsidP="00CF3729">
                <w:pPr>
                  <w:pStyle w:val="atgtitle"/>
                  <w:rPr>
                    <w:sz w:val="2"/>
                    <w:szCs w:val="2"/>
                    <w:rFonts w:hint="eastAsia"/>
                  </w:rPr>
                </w:pPr>
                <w:r>
                  <w:rPr>
                    <w:sz w:val="2"/>
                    <w:szCs w:val="2"/>
                    <w:rFonts w:hint="eastAsia"/>
                  </w:rPr>
                  <w:t xml:space="preserve">         </w:t>
                </w:r>
              </w:p>
              <w:p w14:paraId="54D41726" w14:textId="77777777" w:rsidR="000B6D5E" w:rsidRPr="00CF3729" w:rsidRDefault="000B6D5E" w:rsidP="00CF3729">
                <w:pPr>
                  <w:rPr>
                    <w:sz w:val="2"/>
                    <w:szCs w:val="2"/>
                    <w:rFonts w:hint="eastAsia"/>
                  </w:rPr>
                </w:pPr>
                <w:r>
                  <w:rPr>
                    <w:rFonts w:hint="eastAsia"/>
                  </w:rPr>
                  <w:drawing>
                    <wp:inline distT="0" distB="0" distL="0" distR="0" wp14:anchorId="625B4C8B" wp14:editId="6394683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788E153" w14:textId="77777777" w:rsidR="000B6D5E" w:rsidRPr="00CF3729" w:rsidRDefault="000B6D5E" w:rsidP="00CF3729">
                <w:pPr>
                  <w:rPr>
                    <w:sz w:val="2"/>
                    <w:szCs w:val="2"/>
                  </w:rPr>
                </w:pPr>
              </w:p>
            </w:tc>
          </w:tr>
          <w:tr w:rsidR="000B6D5E" w:rsidRPr="00CF3729" w14:paraId="03346F9F" w14:textId="77777777" w:rsidTr="000B6D5E">
            <w:trPr>
              <w:trHeight w:val="90"/>
            </w:trPr>
            <w:tc>
              <w:tcPr>
                <w:tcW w:w="1152" w:type="dxa"/>
                <w:shd w:val="clear" w:color="auto" w:fill="323232"/>
              </w:tcPr>
              <w:p w14:paraId="6E9F8F7B" w14:textId="77777777" w:rsidR="000B6D5E" w:rsidRPr="00CF3729" w:rsidRDefault="000B6D5E" w:rsidP="00CF3729">
                <w:pPr>
                  <w:pStyle w:val="atgformheaders"/>
                  <w:rPr>
                    <w:sz w:val="2"/>
                    <w:szCs w:val="2"/>
                  </w:rPr>
                </w:pPr>
              </w:p>
            </w:tc>
            <w:tc>
              <w:tcPr>
                <w:tcW w:w="2027" w:type="dxa"/>
                <w:gridSpan w:val="2"/>
                <w:shd w:val="clear" w:color="auto" w:fill="323232"/>
              </w:tcPr>
              <w:p w14:paraId="7A5062D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8ED7174"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8265FC2"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0DAAC795" w14:textId="77777777" w:rsidR="00CF3729" w:rsidRPr="00CF3729" w:rsidRDefault="00CF3729">
          <w:pPr>
            <w:pStyle w:val="Header"/>
            <w:rPr>
              <w:sz w:val="2"/>
              <w:szCs w:val="2"/>
            </w:rPr>
          </w:pPr>
        </w:p>
      </w:tc>
    </w:tr>
  </w:tbl>
  <w:p w14:paraId="761F07FE" w14:textId="77777777" w:rsidR="00CF3729" w:rsidRDefault="00CF3729">
    <w:pPr>
      <w:pStyle w:val="Header"/>
      <w:rPr>
        <w:sz w:val="2"/>
        <w:szCs w:val="2"/>
      </w:rPr>
    </w:pPr>
  </w:p>
  <w:p w14:paraId="1F829CAD" w14:textId="77777777" w:rsidR="000B6D5E" w:rsidRDefault="000B6D5E">
    <w:pPr>
      <w:pStyle w:val="Header"/>
      <w:rPr>
        <w:sz w:val="2"/>
        <w:szCs w:val="2"/>
      </w:rPr>
    </w:pPr>
  </w:p>
  <w:p w14:paraId="70C166FF" w14:textId="77777777" w:rsidR="000B6D5E" w:rsidRDefault="000B6D5E">
    <w:pPr>
      <w:pStyle w:val="Header"/>
      <w:rPr>
        <w:sz w:val="2"/>
        <w:szCs w:val="2"/>
      </w:rPr>
    </w:pPr>
  </w:p>
  <w:p w14:paraId="46992FC9" w14:textId="77777777" w:rsidR="000B6D5E" w:rsidRDefault="000B6D5E">
    <w:pPr>
      <w:pStyle w:val="Header"/>
      <w:rPr>
        <w:sz w:val="2"/>
        <w:szCs w:val="2"/>
      </w:rPr>
    </w:pPr>
  </w:p>
  <w:p w14:paraId="7DCB0244" w14:textId="77777777" w:rsidR="000B6D5E" w:rsidRDefault="000B6D5E">
    <w:pPr>
      <w:pStyle w:val="Header"/>
      <w:rPr>
        <w:sz w:val="2"/>
        <w:szCs w:val="2"/>
      </w:rPr>
    </w:pPr>
  </w:p>
  <w:p w14:paraId="7022D925" w14:textId="77777777" w:rsidR="000B6D5E" w:rsidRDefault="000B6D5E">
    <w:pPr>
      <w:pStyle w:val="Header"/>
      <w:rPr>
        <w:sz w:val="2"/>
        <w:szCs w:val="2"/>
      </w:rPr>
    </w:pPr>
  </w:p>
  <w:p w14:paraId="03F156C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1072AF"/>
    <w:rsid w:val="00150ED8"/>
    <w:rsid w:val="00181F1D"/>
    <w:rsid w:val="001C132C"/>
    <w:rsid w:val="00203869"/>
    <w:rsid w:val="0024713D"/>
    <w:rsid w:val="002741D2"/>
    <w:rsid w:val="002748E9"/>
    <w:rsid w:val="00281D12"/>
    <w:rsid w:val="00287A4C"/>
    <w:rsid w:val="00294A1B"/>
    <w:rsid w:val="002E7BBB"/>
    <w:rsid w:val="003021E2"/>
    <w:rsid w:val="00303D44"/>
    <w:rsid w:val="00321170"/>
    <w:rsid w:val="00331038"/>
    <w:rsid w:val="00355166"/>
    <w:rsid w:val="003576AB"/>
    <w:rsid w:val="00365E0D"/>
    <w:rsid w:val="003906E6"/>
    <w:rsid w:val="003B3E1F"/>
    <w:rsid w:val="003D3EF7"/>
    <w:rsid w:val="003F09F1"/>
    <w:rsid w:val="00425592"/>
    <w:rsid w:val="00456FA4"/>
    <w:rsid w:val="004B7DDA"/>
    <w:rsid w:val="004C513E"/>
    <w:rsid w:val="00515936"/>
    <w:rsid w:val="005640ED"/>
    <w:rsid w:val="00575766"/>
    <w:rsid w:val="00575F36"/>
    <w:rsid w:val="00585527"/>
    <w:rsid w:val="005B4DA9"/>
    <w:rsid w:val="005E3DA1"/>
    <w:rsid w:val="00637D14"/>
    <w:rsid w:val="00656FE6"/>
    <w:rsid w:val="00683D94"/>
    <w:rsid w:val="006A532D"/>
    <w:rsid w:val="006B7433"/>
    <w:rsid w:val="00707E22"/>
    <w:rsid w:val="0074610F"/>
    <w:rsid w:val="0075250D"/>
    <w:rsid w:val="007624A4"/>
    <w:rsid w:val="00764B3A"/>
    <w:rsid w:val="007806DC"/>
    <w:rsid w:val="007A0848"/>
    <w:rsid w:val="00822C6D"/>
    <w:rsid w:val="00843058"/>
    <w:rsid w:val="00886E89"/>
    <w:rsid w:val="00887700"/>
    <w:rsid w:val="00917557"/>
    <w:rsid w:val="00937E3A"/>
    <w:rsid w:val="00970D8B"/>
    <w:rsid w:val="0097513A"/>
    <w:rsid w:val="00985949"/>
    <w:rsid w:val="00987A88"/>
    <w:rsid w:val="00A0279B"/>
    <w:rsid w:val="00AE567F"/>
    <w:rsid w:val="00B01EB9"/>
    <w:rsid w:val="00B15AAA"/>
    <w:rsid w:val="00B519FE"/>
    <w:rsid w:val="00B62C6B"/>
    <w:rsid w:val="00BC1F23"/>
    <w:rsid w:val="00C1559B"/>
    <w:rsid w:val="00C43F41"/>
    <w:rsid w:val="00CF1651"/>
    <w:rsid w:val="00CF3729"/>
    <w:rsid w:val="00D17989"/>
    <w:rsid w:val="00DC7DFC"/>
    <w:rsid w:val="00DD0606"/>
    <w:rsid w:val="00DD4B6D"/>
    <w:rsid w:val="00E16AF8"/>
    <w:rsid w:val="00E6273F"/>
    <w:rsid w:val="00EE2624"/>
    <w:rsid w:val="00F224FC"/>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D452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6802272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2018-03-13T23:55:52.7234425Z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