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414E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2C6497F" w14:textId="77777777" w:rsidR="00764B3A" w:rsidRPr="00AE567F" w:rsidRDefault="00172679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조명 샘플 (DX12)</w:t>
      </w:r>
    </w:p>
    <w:p w14:paraId="5BFE3FC9" w14:textId="7777777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2016년 8월 Xbox One XDK와 호환됩니다.</w:t>
      </w:r>
    </w:p>
    <w:p w14:paraId="43E1FA21" w14:textId="77777777" w:rsidR="00281D12" w:rsidRDefault="00281D12" w:rsidP="00AE567F">
      <w:pPr>
        <w:pStyle w:val="Heading1"/>
        <w:spacing w:before="0"/>
      </w:pPr>
    </w:p>
    <w:p w14:paraId="4F45A458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3DBEB470" w14:textId="77777777" w:rsidR="00172679" w:rsidRDefault="00172679" w:rsidP="00172679">
      <w:pPr>
        <w:rPr>
          <w:rFonts w:cs="Segoe UI" w:hint="eastAsia"/>
        </w:rPr>
      </w:pPr>
      <w:r>
        <w:rPr>
          <w:rFonts w:hint="eastAsia"/>
        </w:rPr>
        <w:t xml:space="preserve">이 샘플은 정적 및 동적 Lambertian 조명을 사용하여 인덱싱 된 형상을 그리는 정적 Direct3D 12 버텍스, 인덱스 및 상수 버퍼를 만드는 방법을 보여줍니다.</w:t>
      </w:r>
    </w:p>
    <w:p w14:paraId="581CF8D0" w14:textId="77777777" w:rsidR="00172679" w:rsidRDefault="00172679" w:rsidP="00172679">
      <w:pPr>
        <w:rPr>
          <w:rFonts w:cs="Segoe UI"/>
        </w:rPr>
      </w:pPr>
    </w:p>
    <w:p w14:paraId="6A823261" w14:textId="77777777" w:rsidR="00172679" w:rsidRDefault="00172679" w:rsidP="00172679">
      <w:pPr>
        <w:rPr>
          <w:rFonts w:hint="eastAsia"/>
        </w:rPr>
      </w:pPr>
      <w:r>
        <w:rPr>
          <w:rFonts w:hint="eastAsia"/>
        </w:rPr>
        <w:t xml:space="preserve">이 샘플에서는 두 개의 조명 (흰색과 빨간색 중 하나)에 의해 큐브로 표현되는 대형 큐브를 렌더링합니다.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빨간색 조명이 중앙 큐브 주위를 도는 동안 흰색 조명은 고정되어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중앙 큐브도 회전합니다.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모션을 사용하면 각기 다른 각도에서 컬러 조명의 효과를 관찰 할 수 있습니다.</w:t>
      </w:r>
    </w:p>
    <w:p w14:paraId="1FD3A5E1" w14:textId="77777777" w:rsidR="00D04E02" w:rsidRPr="00954F86" w:rsidRDefault="00D04E02" w:rsidP="00172679"/>
    <w:p w14:paraId="158F7F22" w14:textId="77777777" w:rsidR="00281D12" w:rsidRDefault="00D04E0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A0B11BD" wp14:editId="35B445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F63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6AE501B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51"/>
        <w:gridCol w:w="3899"/>
      </w:tblGrid>
      <w:tr w:rsidR="00C60001" w:rsidRPr="00C42F0D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C42F0D" w:rsidRDefault="00C60001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14:paraId="43A0C28D" w14:textId="77777777" w:rsidR="00C60001" w:rsidRPr="00C42F0D" w:rsidRDefault="00C60001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C60001" w14:paraId="043B78CE" w14:textId="77777777" w:rsidTr="00C60001">
        <w:trPr>
          <w:trHeight w:val="530"/>
        </w:trPr>
        <w:tc>
          <w:tcPr>
            <w:tcW w:w="2915" w:type="pct"/>
          </w:tcPr>
          <w:p w14:paraId="0A188199" w14:textId="77777777" w:rsidR="00C60001" w:rsidRDefault="00C6000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14:paraId="69307D15" w14:textId="77777777" w:rsidR="00C60001" w:rsidRDefault="00C6000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14:paraId="78963912" w14:textId="77777777" w:rsidR="00E16AF8" w:rsidRDefault="00E16AF8" w:rsidP="00331038"/>
    <w:p w14:paraId="36185742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ED8523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2BD726FB" w14:textId="77777777" w:rsidR="00E6537C" w:rsidRDefault="00E6537C" w:rsidP="00E6537C">
      <w:pPr>
        <w:pStyle w:val="Heading2"/>
        <w:rPr>
          <w:rFonts w:hint="eastAsia"/>
        </w:rPr>
      </w:pPr>
      <w:r>
        <w:rPr>
          <w:rFonts w:hint="eastAsia"/>
        </w:rPr>
        <w:t xml:space="preserve">셰이더</w:t>
      </w:r>
    </w:p>
    <w:p w14:paraId="77FF2F97" w14:textId="77777777" w:rsidR="00172679" w:rsidRDefault="00172679" w:rsidP="00E6537C">
      <w:pPr>
        <w:pStyle w:val="Heading2"/>
        <w:rPr>
          <w:b w:val="0"/>
          <w:sz w:val="20"/>
          <w:szCs w:val="22"/>
          <w:rFonts w:eastAsiaTheme="minorHAnsi" w:cs="Segoe UI" w:hint="eastAsia"/>
        </w:rPr>
      </w:pPr>
      <w:r>
        <w:rPr>
          <w:b w:val="0"/>
          <w:sz w:val="20"/>
          <w:szCs w:val="22"/>
          <w:rFonts w:hint="eastAsia"/>
        </w:rPr>
        <w:t xml:space="preserve">이 샘플은 정점 셰이더 ("TriangleVS")와 두 개의 픽셀 셰이더 ("LambertPS", "SolidColorPS")를 사용하여 장면을 렌더링하는 세 개의 셰이더를 사용합니다.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컴파일 된 셰이더 블롭을 CreateDeviceDependentResources에 로드한 다음 각 셰이더 조합에 대한 파이프 라인 상태 개체를 만들 때 그것을 참조합니다.</w:t>
      </w:r>
      <w:r>
        <w:rPr>
          <w:b w:val="0"/>
          <w:sz w:val="20"/>
          <w:szCs w:val="22"/>
          <w:rFonts w:hint="eastAsia"/>
        </w:rPr>
        <w:t xml:space="preserve">  </w:t>
      </w:r>
      <w:r>
        <w:rPr>
          <w:b w:val="0"/>
          <w:sz w:val="20"/>
          <w:szCs w:val="22"/>
          <w:rFonts w:hint="eastAsia"/>
        </w:rPr>
        <w:t xml:space="preserve">모든 셰이더는 동일한 HLSL 포함 파일 "SimpleLighting.hlsli"에 정의되어 있으며, 세 개의 스텁 셰이더에는 이 파일이 포함되어 있습니다.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각 스텁 쉐이더는 세 개의 쉐이더 블롭을 생성하기 위해 다른 진입점에 대해 컴파일됩니다.</w:t>
      </w:r>
    </w:p>
    <w:p w14:paraId="13D1ADD7" w14:textId="77777777" w:rsidR="00E6537C" w:rsidRPr="00E6537C" w:rsidRDefault="00E6537C" w:rsidP="00E6537C"/>
    <w:p w14:paraId="6E06DFDA" w14:textId="77777777" w:rsidR="00E6537C" w:rsidRDefault="00E6537C" w:rsidP="00E6537C">
      <w:pPr>
        <w:pStyle w:val="Heading2"/>
        <w:rPr>
          <w:rFonts w:hint="eastAsia"/>
        </w:rPr>
      </w:pPr>
      <w:r>
        <w:rPr>
          <w:rFonts w:hint="eastAsia"/>
        </w:rPr>
        <w:t xml:space="preserve">파이프 라인 상태 객체 (PSO)</w:t>
      </w:r>
    </w:p>
    <w:p w14:paraId="18C6AABB" w14:textId="77777777" w:rsidR="008F18B8" w:rsidRDefault="00EF634D" w:rsidP="00E6537C">
      <w:pPr>
        <w:rPr>
          <w:rFonts w:hint="eastAsia"/>
        </w:rPr>
      </w:pPr>
      <w:r>
        <w:rPr>
          <w:rFonts w:hint="eastAsia"/>
        </w:rPr>
        <w:t xml:space="preserve">Simple Lighting 샘플에는 두 가지 고유한 셰이더 조합이 있습니다. 첫 번째는 TriangleVS를 LambertPS와 결합한 것이고 두 번째는 TriangleVS이며 SolidColorPS입니다.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DirectX 12에서는 모든 고유한 셰이더 조합에 대해 파이프 라인 상태 개체 (PSO)를 만들어야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이름에서 알 수 있듯이 PSO는 특정 셰이더 집합을 사용하여 여러 번의 그리기 호출에 필요한 모든 파이프 라인 상태를 캡슐화합니다.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PSO는 루트 서명, 파이프 라인의 다양한 스테이지에 대한 셰이더, 래스터 라이저 상태, 깊이 스텐실 상태, 블렌드 상태 등과 같은 상태 설정을 결합합니다. 자세한 내용은 MSDN의 설명서를 참조하십시오.</w:t>
      </w:r>
    </w:p>
    <w:p w14:paraId="18907737" w14:textId="77777777" w:rsidR="008F18B8" w:rsidRDefault="008F18B8" w:rsidP="00E6537C"/>
    <w:p w14:paraId="793A440E" w14:textId="77777777" w:rsidR="008F18B8" w:rsidRDefault="008F18B8" w:rsidP="008F18B8">
      <w:pPr>
        <w:pStyle w:val="Heading2"/>
        <w:rPr>
          <w:rFonts w:hint="eastAsia"/>
        </w:rPr>
      </w:pPr>
      <w:r>
        <w:rPr>
          <w:rFonts w:hint="eastAsia"/>
        </w:rPr>
        <w:t xml:space="preserve">루트 서명</w:t>
      </w:r>
    </w:p>
    <w:p w14:paraId="4B51CD70" w14:textId="77777777" w:rsidR="00E6537C" w:rsidRDefault="008F18B8" w:rsidP="008F18B8">
      <w:pPr>
        <w:rPr>
          <w:rFonts w:hint="eastAsia"/>
        </w:rPr>
      </w:pPr>
      <w:r>
        <w:rPr>
          <w:rFonts w:hint="eastAsia"/>
        </w:rPr>
        <w:t xml:space="preserve">루트 서명은 그래픽 파이프 라인에 바인딩되는 리소스 유형과 리소스 배치 방법을 정의합니다.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루트 서명은 API 함수 서명과 유사하며 매개 변수의 유형, 매개 변수 순서 및 레이아웃을 설명하지만 실제 매개 변수 인스턴스는 정의하지 않습니다.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루트 매개 변수는 루트 서명의 요소에 해당하는 실제 데이터 인스턴스입니다.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샘플의 버텍스 셰이더는 셰이더 상수에 대한 단일 구조만 있으면 되므로 루트 서명이 매우 간단합니다.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루트 서명은 ConstantBufferView 유형의 단일 루트 매개 변수를 포함합니다.</w:t>
      </w:r>
      <w:r>
        <w:rPr>
          <w:rFonts w:hint="eastAsia"/>
        </w:rPr>
        <w:t xml:space="preserve"> </w:t>
      </w:r>
    </w:p>
    <w:p w14:paraId="1C432160" w14:textId="77777777" w:rsidR="00EF634D" w:rsidRDefault="00EF634D" w:rsidP="00E6537C"/>
    <w:p w14:paraId="566411A0" w14:textId="77777777" w:rsidR="00EF634D" w:rsidRDefault="00EF634D" w:rsidP="00EF634D">
      <w:pPr>
        <w:pStyle w:val="Heading2"/>
        <w:rPr>
          <w:rFonts w:hint="eastAsia"/>
        </w:rPr>
      </w:pPr>
      <w:r>
        <w:rPr>
          <w:rFonts w:hint="eastAsia"/>
        </w:rPr>
        <w:t xml:space="preserve">기하학</w:t>
      </w:r>
    </w:p>
    <w:p w14:paraId="58051857" w14:textId="77777777" w:rsidR="00EF634D" w:rsidRDefault="00172679" w:rsidP="00EF634D">
      <w:pPr>
        <w:pStyle w:val="Heading2"/>
        <w:rPr>
          <w:b w:val="0"/>
          <w:sz w:val="20"/>
          <w:szCs w:val="22"/>
          <w:rFonts w:eastAsiaTheme="minorHAnsi" w:cs="Times New Roman" w:hint="eastAsia"/>
        </w:rPr>
      </w:pPr>
      <w:r>
        <w:rPr>
          <w:b w:val="0"/>
          <w:sz w:val="20"/>
          <w:szCs w:val="22"/>
          <w:rFonts w:hint="eastAsia"/>
        </w:rPr>
        <w:t xml:space="preserve">장면의 지오메트리는 정육면체의 6 개 쿼드를 나타내는 24 개의 정점에 대한 데이터를 포함하는 정적 정점 및 인덱스 배열로 구성됩니다.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2 개의 배열은, Sample::CreateDeviceDependentResources의 내부에서 선언되고 있어, ID3D12Device::CreateCommittedResource에 의해 즉시 사용되어 버퍼의 ID3D12Resources를 작성합니다.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간단하게 하기 위해 샘플에서는 D3D12_HEAP_TYPE_UPLOAD를 사용합니다. 이렇게 하면 각 리소스를 한 번에 데이터로 초기화하면서 만들 수 있습니다.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그러나 _UPLOAD 힙은 기하학 데이터에 적합하지 않은 위치입니다.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보다 효율적인 구현은, 기하학 데이터에 D3D12_HEAP_TYPE_DEFAULT를 사용합니다.</w:t>
      </w:r>
      <w:r>
        <w:rPr>
          <w:b w:val="0"/>
          <w:sz w:val="20"/>
          <w:szCs w:val="22"/>
          <w:rFonts w:hint="eastAsia"/>
        </w:rPr>
        <w:t xml:space="preserve"> </w:t>
      </w:r>
      <w:r>
        <w:rPr>
          <w:b w:val="0"/>
          <w:sz w:val="20"/>
          <w:szCs w:val="22"/>
          <w:rFonts w:hint="eastAsia"/>
        </w:rPr>
        <w:t xml:space="preserve">_DEFAULT 힙을 초기화하려면 _UPLOAD 힙을 사용해야 하기 위해 두 개의 힙을 사용하게 되므로 구현이 복잡해집니다.</w:t>
      </w:r>
    </w:p>
    <w:p w14:paraId="5683AD0D" w14:textId="77777777" w:rsidR="00AA1D44" w:rsidRDefault="00AA1D44" w:rsidP="00AA1D44"/>
    <w:p w14:paraId="1492B7B3" w14:textId="77777777" w:rsidR="00AA1D44" w:rsidRDefault="00AA1D44" w:rsidP="00AA1D44">
      <w:pPr>
        <w:rPr>
          <w:rFonts w:hint="eastAsia"/>
        </w:rPr>
      </w:pPr>
      <w:r>
        <w:rPr>
          <w:rFonts w:hint="eastAsia"/>
        </w:rPr>
        <w:t xml:space="preserve">지오메트리의 버퍼가 창조되면, 샘플은 정점에 대한 D3D12_VERTEX_BUFFER_VIEW 및 인덱스에 대한 D3D12_INDEX_BUFFER_VIEW를 생성할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뷰는 ID3D12GraphicsCommandList::IASetVertextBuffer 및 ID3D12GraphicsCommandList::IASetVertextBuffer를 호출하여 입력 어셈블러를 설정할 때 Sample::Render에서 사용됩니다.</w:t>
      </w:r>
    </w:p>
    <w:p w14:paraId="5B9DF7B0" w14:textId="77777777" w:rsidR="00AA1D44" w:rsidRDefault="00AA1D44" w:rsidP="00AA1D44"/>
    <w:p w14:paraId="5633F47A" w14:textId="77777777" w:rsidR="00AA1D44" w:rsidRDefault="008F18B8" w:rsidP="00AA1D44">
      <w:pPr>
        <w:pStyle w:val="Heading2"/>
        <w:rPr>
          <w:rFonts w:hint="eastAsia"/>
        </w:rPr>
      </w:pPr>
      <w:r>
        <w:rPr>
          <w:rFonts w:hint="eastAsia"/>
        </w:rPr>
        <w:t xml:space="preserve">셰이더 상수 관리하기</w:t>
      </w:r>
    </w:p>
    <w:p w14:paraId="2236C87C" w14:textId="77777777" w:rsidR="00172679" w:rsidRPr="00AD6789" w:rsidRDefault="00AA1D44" w:rsidP="00AA1D44">
      <w:pPr>
        <w:rPr>
          <w:rFonts w:cs="Segoe UI" w:hint="eastAsia"/>
        </w:rPr>
      </w:pPr>
      <w:r>
        <w:rPr>
          <w:rFonts w:hint="eastAsia"/>
        </w:rPr>
        <w:t xml:space="preserve">이 매우 간단한 장면에서 모든 셰이더 상수는 다음을 포함하는 하나의 상수 버퍼로 함께 정리됩니다.</w:t>
      </w:r>
    </w:p>
    <w:p w14:paraId="2AB6008F" w14:textId="77777777"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월드, 뷰 및 투영 행렬</w:t>
      </w:r>
    </w:p>
    <w:p w14:paraId="23403AAE" w14:textId="77777777"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가벼운 방향과 색상</w:t>
      </w:r>
    </w:p>
    <w:p w14:paraId="7217D8AF" w14:textId="77777777"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단색</w:t>
      </w:r>
    </w:p>
    <w:p w14:paraId="17E0A99D" w14:textId="77777777" w:rsidR="00F65601" w:rsidRDefault="00F65601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보다 복잡한 장면의 경우 상수가 얼마나 자주 업데이트 되는 지에 따라 상수를 여러 버퍼로 분할합니다.</w:t>
      </w:r>
      <w:r>
        <w:rPr>
          <w:rFonts w:hint="eastAsia"/>
        </w:rPr>
        <w:t xml:space="preserve"> </w:t>
      </w:r>
    </w:p>
    <w:p w14:paraId="20D79F37" w14:textId="77777777" w:rsidR="00236B25" w:rsidRDefault="00172679" w:rsidP="00AA1D44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대형 큐브와 빨간색 조명이 애니메이션 되므로 쉐이더 상수는 그리기 호출 사이에서 프레임 당 여러 번 업데이트해야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루트 서명에는 각 그리기 호출에 사용할 셰이더 상수의 복사본을 참조해야 하는 ConstantBufferView 유형의 단일 루트 매개 변수가 포함되어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CPU와 GPU가 병렬로 작동하기 때문에 CPU는 GPU가 이를 사용하여 완료될 때까지 상수 버퍼를 업데이트하려고 시도하면 안됩니다.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하나의 상수 버퍼만 있는 경우 CPU는 GPU가 그리기를 마칠 때까지 블록해야 합니다. 이는 몇 가지 그리기 호출을 위해 상수를 업데이트해야 하므로 비현실적입니다.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따라서이 샘플에서는 여러 상수 버퍼를 사용하여 GPU가 그리는 동안 CPU가 GPU에 상수를 계속 보낼 수 있습니다.</w:t>
      </w:r>
    </w:p>
    <w:p w14:paraId="0B03B6C8" w14:textId="77777777" w:rsidR="000264E0" w:rsidRDefault="00236B25" w:rsidP="00AA1D44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샘플은 간단하며 프레임 당 고정된 수의 그리기 호출을 가지며, 그리기 호출 횟수는 컴파일 타임에 알려져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각 그리기 호출에 대해 하나의 버퍼와 스왑 체인의 백 버퍼 수를 곱합니다.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수는 CPU가 쓸 수있는 여유 버퍼가 항상 있음을 보장합니다.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모든 상수 버퍼는 Sample::CreateDeviceDependentResources에서 생성된 단일 연속 업로드 버퍼에 저장됩니다.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업로드 버퍼는 CPU 주소 공간과 GPU 주소 공간에 대한 기본 메모리 주소를 얻기 위해 즉시 매핑됩니다.</w:t>
      </w:r>
    </w:p>
    <w:p w14:paraId="2887DA2B" w14:textId="77777777" w:rsidR="00236B25" w:rsidRDefault="00236B25" w:rsidP="00AA1D44">
      <w:pPr>
        <w:spacing w:before="144" w:after="144"/>
        <w:rPr>
          <w:rFonts w:hint="eastAsia"/>
        </w:rPr>
      </w:pPr>
      <w:r>
        <w:rPr>
          <w:rFonts w:hint="eastAsia"/>
        </w:rPr>
        <w:t xml:space="preserve">Sample::Render 메서드에서 상수는 상수 업로드 힙의 CPU 기본 주소에서 인덱싱된 위치에 기록됩니다.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동일한 인덱스가 GPU 주소와 결합되어 ID3D12GraphicsCommandList::SetGraphicsRootConstantBufferView에 대한 호출을 통해 버퍼를 파이프 라인에 바인딩합니다.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인덱스는 백 버퍼 생성과 그리기 횟수를 고려해야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자세한 내용은 Sample::Render 구현을 참조하십시오.</w:t>
      </w:r>
    </w:p>
    <w:p w14:paraId="7EC97058" w14:textId="77777777" w:rsidR="003A7CD3" w:rsidRDefault="003A7CD3" w:rsidP="003A7CD3">
      <w:pPr>
        <w:pStyle w:val="Heading2"/>
        <w:rPr>
          <w:rFonts w:hint="eastAsia"/>
        </w:rPr>
      </w:pPr>
      <w:r>
        <w:rPr>
          <w:rFonts w:hint="eastAsia"/>
        </w:rPr>
        <w:t xml:space="preserve">CPU/GPU 동기화</w:t>
      </w:r>
    </w:p>
    <w:p w14:paraId="10E7E02D" w14:textId="77777777" w:rsidR="003A7CD3" w:rsidRPr="003A7CD3" w:rsidRDefault="003A7CD3" w:rsidP="003A7CD3">
      <w:pPr>
        <w:rPr>
          <w:rFonts w:hint="eastAsia"/>
        </w:rPr>
      </w:pPr>
      <w:r>
        <w:rPr>
          <w:rFonts w:hint="eastAsia"/>
        </w:rPr>
        <w:t xml:space="preserve">CPU가 GPU가 명령리스트를 처리할 수 있는 것보다 빨리 GPU에 명령리스트를 발행할 수 있다면 결국 CPU는 GPU가 처리를 완료할 때까지 기다려야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샘플에서는 고정 버퍼 메모리를 라운드 로빈 방식으로 사용합니다. 이는 고정된 기간 후에 버퍼 슬롯을 다시 사용한다는 것을 의미합니다.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일반적으로 공유 리소스를 재사용하기 전에 리소스가 사용 중이 아닌지 확인하기 위해 일종의 동기화 전략을 사용하는 것이 중요합니다.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샘플에서는 ID3D12Fence를 사용하여 CPU와 GPU를 동기화합니다.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CPU는 명령 대기열에 명령을 삽입하여 프레임 색인 값으로 차단 개체에 "신호"를 보냅니다.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제공된 프레임 인덱스 값은 신호 명령이 GPU에서 처리되 자마자 CPU에 표시됩니다.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이렇게 하면 CPU가 현재 프레임 인덱스와 GPU가 신호한 마지막 프레임 인덱스를 비교하여 GPU가 CPU와 얼마나 뒤져 있는지 확인할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GPU 프레임 수와 CPU 프레임 수의 차이가 백 버퍼 수를 초과하면 CPU가 대기해야 합니다.</w:t>
      </w:r>
      <w:r>
        <w:rPr>
          <w:rFonts w:hint="eastAsia"/>
        </w:rPr>
        <w:t xml:space="preserve"> </w:t>
      </w:r>
    </w:p>
    <w:p w14:paraId="2A8FC9B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693AEB4A" w14:textId="77777777" w:rsidR="003D3EF7" w:rsidRDefault="008162BD" w:rsidP="008162BD">
      <w:pPr>
        <w:rPr>
          <w:rFonts w:hint="eastAsia"/>
        </w:rPr>
      </w:pPr>
      <w:r>
        <w:rPr>
          <w:rFonts w:hint="eastAsia"/>
        </w:rPr>
        <w:t xml:space="preserve">2016 년 5 월에 폐지된 ATG 샘플 프레임 워크에 대한 모든 종속성을 제거했습니다.</w:t>
      </w:r>
    </w:p>
    <w:p w14:paraId="1461665A" w14:textId="45636EA2" w:rsidR="00E6537C" w:rsidRPr="00EB7866" w:rsidRDefault="00E6537C" w:rsidP="008162BD">
      <w:pPr>
        <w:rPr>
          <w:rFonts w:hint="eastAsia"/>
        </w:rPr>
      </w:pPr>
      <w:r>
        <w:rPr>
          <w:rFonts w:hint="eastAsia"/>
        </w:rPr>
        <w:t xml:space="preserve">2016 년 6 월, DirectX 12 버전을 만들었습니다.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14:paraId="77A056D2" w14:textId="77777777" w:rsidR="00575766" w:rsidRDefault="00575766" w:rsidP="00331038"/>
    <w:p w14:paraId="5D2FA51B" w14:textId="77777777" w:rsidR="004C3A34" w:rsidRDefault="004C3A34" w:rsidP="004C3A34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07DDEF87" w14:textId="77777777" w:rsidR="004C3A34" w:rsidRDefault="004C3A34" w:rsidP="004C3A34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683AC50A" w14:textId="77777777" w:rsidR="004C3A34" w:rsidRDefault="004C3A34" w:rsidP="004C3A34">
      <w:pPr>
        <w:rPr>
          <w:rFonts w:cs="Segoe UI"/>
          <w:szCs w:val="20"/>
        </w:rPr>
      </w:pPr>
    </w:p>
    <w:p w14:paraId="31A5F6E9" w14:textId="77777777" w:rsidR="004C3A34" w:rsidRDefault="004C3A34" w:rsidP="004C3A34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46FE2029" w14:textId="77777777" w:rsidR="004C3A34" w:rsidRPr="00331038" w:rsidRDefault="004C3A34" w:rsidP="00331038"/>
    <w:sectPr w:rsidR="004C3A34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42ABB" w14:textId="77777777" w:rsidR="00FF69E1" w:rsidRDefault="00FF69E1" w:rsidP="0074610F">
      <w:r>
        <w:separator/>
      </w:r>
    </w:p>
  </w:endnote>
  <w:endnote w:type="continuationSeparator" w:id="0">
    <w:p w14:paraId="19C48F7C" w14:textId="77777777" w:rsidR="00FF69E1" w:rsidRDefault="00FF69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CD0B" w14:textId="77777777" w:rsidR="00761D94" w:rsidRDefault="00761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77777777" w:rsidR="00843058" w:rsidRPr="00097CCA" w:rsidRDefault="00683D94" w:rsidP="00D04E0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61D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SimpleLighting12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4F4238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7777777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61D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68256" w14:textId="77777777" w:rsidR="00FF69E1" w:rsidRDefault="00FF69E1" w:rsidP="0074610F">
      <w:r>
        <w:separator/>
      </w:r>
    </w:p>
  </w:footnote>
  <w:footnote w:type="continuationSeparator" w:id="0">
    <w:p w14:paraId="5F0EB75C" w14:textId="77777777" w:rsidR="00FF69E1" w:rsidRDefault="00FF69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8127" w14:textId="77777777" w:rsidR="00761D94" w:rsidRDefault="00761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501D2" w14:textId="77777777" w:rsidR="00761D94" w:rsidRDefault="00761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50ED8"/>
    <w:rsid w:val="001724A4"/>
    <w:rsid w:val="00172679"/>
    <w:rsid w:val="00197D00"/>
    <w:rsid w:val="001C132C"/>
    <w:rsid w:val="00203869"/>
    <w:rsid w:val="00236B25"/>
    <w:rsid w:val="0024713D"/>
    <w:rsid w:val="002741D2"/>
    <w:rsid w:val="002748E9"/>
    <w:rsid w:val="00281D12"/>
    <w:rsid w:val="00287A4C"/>
    <w:rsid w:val="00294A1B"/>
    <w:rsid w:val="002A196F"/>
    <w:rsid w:val="002E7BBB"/>
    <w:rsid w:val="00303D44"/>
    <w:rsid w:val="00321170"/>
    <w:rsid w:val="00331038"/>
    <w:rsid w:val="0034473D"/>
    <w:rsid w:val="00355166"/>
    <w:rsid w:val="003A7CD3"/>
    <w:rsid w:val="003D3244"/>
    <w:rsid w:val="003D3EF7"/>
    <w:rsid w:val="00413103"/>
    <w:rsid w:val="00425592"/>
    <w:rsid w:val="004960B0"/>
    <w:rsid w:val="004A6BDA"/>
    <w:rsid w:val="004B7DDA"/>
    <w:rsid w:val="004C3A34"/>
    <w:rsid w:val="004D633C"/>
    <w:rsid w:val="004E54F5"/>
    <w:rsid w:val="004F4238"/>
    <w:rsid w:val="005640ED"/>
    <w:rsid w:val="00575766"/>
    <w:rsid w:val="00575F36"/>
    <w:rsid w:val="00585527"/>
    <w:rsid w:val="00595E9A"/>
    <w:rsid w:val="005B4DA9"/>
    <w:rsid w:val="005E3DA1"/>
    <w:rsid w:val="00682938"/>
    <w:rsid w:val="00683D94"/>
    <w:rsid w:val="006A532D"/>
    <w:rsid w:val="006B7433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162BD"/>
    <w:rsid w:val="00822E5F"/>
    <w:rsid w:val="00843058"/>
    <w:rsid w:val="00886E89"/>
    <w:rsid w:val="00887700"/>
    <w:rsid w:val="008F18B8"/>
    <w:rsid w:val="00904FC3"/>
    <w:rsid w:val="00917557"/>
    <w:rsid w:val="00937E3A"/>
    <w:rsid w:val="00985949"/>
    <w:rsid w:val="00987A88"/>
    <w:rsid w:val="00A0279B"/>
    <w:rsid w:val="00A33B5E"/>
    <w:rsid w:val="00AA1D44"/>
    <w:rsid w:val="00AE567F"/>
    <w:rsid w:val="00B15AAA"/>
    <w:rsid w:val="00B62C6B"/>
    <w:rsid w:val="00BC1F23"/>
    <w:rsid w:val="00C60001"/>
    <w:rsid w:val="00CF3729"/>
    <w:rsid w:val="00D04E02"/>
    <w:rsid w:val="00D368AE"/>
    <w:rsid w:val="00D6453B"/>
    <w:rsid w:val="00DC7DFC"/>
    <w:rsid w:val="00DD0606"/>
    <w:rsid w:val="00E16AF8"/>
    <w:rsid w:val="00E6273F"/>
    <w:rsid w:val="00E6537C"/>
    <w:rsid w:val="00E95FF1"/>
    <w:rsid w:val="00EB1E7F"/>
    <w:rsid w:val="00EE2624"/>
    <w:rsid w:val="00EF634D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29</cp:revision>
  <dcterms:created xsi:type="dcterms:W3CDTF">2016-01-25T19:58:00Z</dcterms:created>
  <dcterms:modified xsi:type="dcterms:W3CDTF">2018-03-13T23:56:00Z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2018-03-13T23:56:36.6746152Z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